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Harbingers prezentuje usługę Brandformance</w:t>
      </w:r>
    </w:p>
    <w:p>
      <w:pPr>
        <w:spacing w:before="0" w:after="500" w:line="264" w:lineRule="auto"/>
      </w:pPr>
      <w:r>
        <w:rPr>
          <w:rFonts w:ascii="calibri" w:hAnsi="calibri" w:eastAsia="calibri" w:cs="calibri"/>
          <w:sz w:val="36"/>
          <w:szCs w:val="36"/>
          <w:b/>
        </w:rPr>
        <w:t xml:space="preserve">Nowa era synergii między brandingiem a performance!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Harbingers, agencja digital marketingu z Krakowa, wprowadza swoją kolejną nową usługę – Brandformance. To innowacyjne podejście łączące działania brandingowe z efektywnościowymi, zaprojektowane z myślą o firmach, które pragną nie tylko budować długoterminową wartość swojej marki, lecz także osiągać natychmiastowe wyniki sprzedażowe. Dzięki nowoczesnym technologiom, narzędziom analitycznym i strategicznemu podejściu, Brandformance stanowi nową jakość na rynku, umożliwiając markom skuteczniejsze dotarcie do swoich klientów i budowanie z nimi trwałych relacji.</w:t>
      </w:r>
    </w:p>
    <w:p>
      <w:pPr>
        <w:spacing w:before="0" w:after="300"/>
      </w:pPr>
      <w:r>
        <w:rPr>
          <w:rFonts w:ascii="calibri" w:hAnsi="calibri" w:eastAsia="calibri" w:cs="calibri"/>
          <w:sz w:val="24"/>
          <w:szCs w:val="24"/>
        </w:rPr>
        <w:t xml:space="preserve">Krzysztof Kobylarz, Head of Strategy &amp; Creative w Harbingers i Product Owner usługi Brandformance, komentuje: </w:t>
      </w:r>
      <w:r>
        <w:rPr>
          <w:rFonts w:ascii="calibri" w:hAnsi="calibri" w:eastAsia="calibri" w:cs="calibri"/>
          <w:sz w:val="24"/>
          <w:szCs w:val="24"/>
          <w:i/>
          <w:iCs/>
        </w:rPr>
        <w:t xml:space="preserve">Naszym celem było stworzenie usługi, która z jednej strony pozwala na precyzyjne budowanie rozpoznawalności marki, a z drugiej – maksymalizuje wyniki sprzedażowe. Brandformance to odpowiedź na rosnące potrzeby firm, które chcą połączyć te dwa obszary w spójną i skuteczną strategię komunikacji. Dzięki synergii działań brandingowych i efektywnościowych nasi Partnerzy osiągają nie tylko wyższą rozpoznawalność na rynku, ale również znaczące wzrosty w konwersji i retencji klientów.</w:t>
      </w:r>
    </w:p>
    <w:p>
      <w:pPr>
        <w:spacing w:before="0" w:after="300"/>
      </w:pPr>
      <w:r>
        <w:rPr>
          <w:rFonts w:ascii="calibri" w:hAnsi="calibri" w:eastAsia="calibri" w:cs="calibri"/>
          <w:sz w:val="24"/>
          <w:szCs w:val="24"/>
        </w:rPr>
        <w:t xml:space="preserve">Zaawansowane technologie, takie jak programmatic advertising oraz narzędzia analityczne, umożliwiają precyzyjne targetowanie i optymalizację kampanii. Dzięki temu firmy mogą skuteczniej docierać do swoich grup docelowych, minimalizując przy tym koszty i maksymalizując zwrot z inwestycji.</w:t>
      </w:r>
    </w:p>
    <w:p>
      <w:pPr>
        <w:spacing w:before="0" w:after="300"/>
      </w:pPr>
      <w:r>
        <w:rPr>
          <w:rFonts w:ascii="calibri" w:hAnsi="calibri" w:eastAsia="calibri" w:cs="calibri"/>
          <w:sz w:val="24"/>
          <w:szCs w:val="24"/>
        </w:rPr>
        <w:t xml:space="preserve">Istotnym elementem jest również mierzalność efektów kampanii. Dzięki narzędziom, takim jak m.in. Brand Lift oraz zaawansowanym modelom analitycznym, możliwe jest precyzyjne mierzenie wpływu kampanii na świadomość marki oraz wyniki sprzedażowe. Badania wskazują, że kampanie łączące branding z performance marketingiem mogą zwiększyć zwrot z inwestycji nawet o 60%. To pokazuje, jak efektywne może być połączenie tych dwóch obszarów w spójną strategię marketingową.</w:t>
      </w:r>
    </w:p>
    <w:p>
      <w:pPr>
        <w:spacing w:before="0" w:after="300"/>
      </w:pPr>
      <w:hyperlink r:id="rId7" w:history="1">
        <w:r>
          <w:rPr>
            <w:rFonts w:ascii="calibri" w:hAnsi="calibri" w:eastAsia="calibri" w:cs="calibri"/>
            <w:color w:val="0000FF"/>
            <w:sz w:val="24"/>
            <w:szCs w:val="24"/>
            <w:u w:val="single"/>
          </w:rPr>
          <w:t xml:space="preserve">Usługa Brandformance</w:t>
        </w:r>
      </w:hyperlink>
      <w:r>
        <w:rPr>
          <w:rFonts w:ascii="calibri" w:hAnsi="calibri" w:eastAsia="calibri" w:cs="calibri"/>
          <w:sz w:val="24"/>
          <w:szCs w:val="24"/>
        </w:rPr>
        <w:t xml:space="preserve"> skierowana jest do firm, które chcą połączyć budowanie silnej marki z działaniami sprzedażowymi. Dzięki kreatywnym kampaniom i precyzyjnemu targetowaniu, Harbingers pomaga firmom zwiększyć świadomość marki oraz osiągać mierzalne rezultaty.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changers.harbingers.io/brand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2025-12-07T01:31:24+01:00</dcterms:created>
  <dcterms:modified xsi:type="dcterms:W3CDTF">2025-12-07T01:31:24+01:00</dcterms:modified>
</cp:coreProperties>
</file>

<file path=docProps/custom.xml><?xml version="1.0" encoding="utf-8"?>
<Properties xmlns="http://schemas.openxmlformats.org/officeDocument/2006/custom-properties" xmlns:vt="http://schemas.openxmlformats.org/officeDocument/2006/docPropsVTypes"/>
</file>