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Chatboty AI „psują” analitykę internetową? Eksperci ostrzegają — marki znikają z wyników LLM, a źródła ruchu stają się niewidoczne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analiz wynika, że większość generatywnych chatbotów AI – takich jak ChatGPT, Gemini czy Perplexity – nie przekazuje informacji o źródle ruchu. To oznacza, że kliknięcia w linki z ich odpowiedzi trafiają na strony bez tzw. referrera, co uniemożliwia ich identyfikację w systemach analitycznych. Problem został szeroko opisany w artykule Patricka Stoxa na blogu Ahrefs.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przekłada się to na coraz większy udział wizyt w kanałach „direct”, mimo że ich rzeczywiste źródło pochodzi z chatbotów. Dla zespołów e-commerce to realne wyzwanie: trudności z mierzeniem skuteczności kampanii, błędne przypisania konwersji i brak pełnego obrazu ścieżki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2025 – Prognozy przychodów z SEO i Content Marketingu w dobie AI</w:t>
      </w:r>
      <w:r>
        <w:rPr>
          <w:rFonts w:ascii="calibri" w:hAnsi="calibri" w:eastAsia="calibri" w:cs="calibri"/>
          <w:sz w:val="24"/>
          <w:szCs w:val="24"/>
        </w:rPr>
        <w:t xml:space="preserve">, przygotowany przez Harbingers i Openfield przy współpracy m.in. z Ahrefs, Senuto i Similarweb, problem widoczności marek w świecie generatywnej AI sięga jeszcze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 E-commerce 2025 – Prognozy przychodów z SEO i Content Marketingu w dobie AI, które realizowaliśmy m.in. razem z Ahrefs, pokazało jeszcze drugą stronę medalu: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38% polskich marek w ogóle nie istnieje w odpowiedziach AI generowanych przez popularne LLMy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Więc nawet gdyby informacje o źródle były przekazywane, to i tak nie byłoby co mierzyć... Wniosek? SEO w dobie AI to już nie tylko klasyczne SERP-y, ale też optymalizacja pod wyniki AI Overview i LLM, a marketerzy muszą przygotować się na świat, w którym widoczność w narzędziach AI stanie się kluczowa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Michalak, Head of SEO &amp; GA w agencji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tych zmian warto zwrócić uwagę na szybko rosnącą popularność chatbotów. Według raportu OneLittleWeb</w:t>
      </w:r>
      <w:r>
        <w:rPr>
          <w:rFonts w:ascii="calibri" w:hAnsi="calibri" w:eastAsia="calibri" w:cs="calibri"/>
          <w:sz w:val="24"/>
          <w:szCs w:val="24"/>
          <w:b/>
        </w:rPr>
        <w:t xml:space="preserve"> liczba wizyt w chatbotach AI wzrosła o 80,92% rok do roku, osiągając 55,2 miliarda</w:t>
      </w:r>
      <w:r>
        <w:rPr>
          <w:rFonts w:ascii="calibri" w:hAnsi="calibri" w:eastAsia="calibri" w:cs="calibri"/>
          <w:sz w:val="24"/>
          <w:szCs w:val="24"/>
        </w:rPr>
        <w:t xml:space="preserve"> (kwiecień 2024 – marzec 2025). Dla porównania –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internetowe w tym samym czasie wygenerowały 1,86 biliona wizyt</w:t>
      </w:r>
      <w:r>
        <w:rPr>
          <w:rFonts w:ascii="calibri" w:hAnsi="calibri" w:eastAsia="calibri" w:cs="calibri"/>
          <w:sz w:val="24"/>
          <w:szCs w:val="24"/>
        </w:rPr>
        <w:t xml:space="preserve">. Choć chatboty nadal nie dorównują skalą tradycyjnym wyszukiwarkom, ich wpływ na decyzje użytkowników i przebieg ścieżki zakupowej staje się coraz bardziej odczuwalny.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rośnie znaczenie AI Overview oraz widoczności treści w systemach generatywnych. SEO przestaje być jedynie grą o pozycje w klasycznych wynikach wyszukiwania – teraz to także walka o obecność w odpowiedziach modeli językowych. Widoczność w Google, Bing czy Gemini staje się tak samo ważna, jak obecność w źródłach, z których korzystają chatboty.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agencja Harbingers w swoim raporcie przeanalizowała, jak budować strategie SEO i Content Marketingu, które będą działać w świecie hybrydowym – gdzie wyszukiwarki i AI współistnieją.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Patrick Stox,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Generative Engines Are Breaking Web Analytics</w:t>
      </w:r>
      <w:r>
        <w:rPr>
          <w:rFonts w:ascii="calibri" w:hAnsi="calibri" w:eastAsia="calibri" w:cs="calibri"/>
          <w:sz w:val="24"/>
          <w:szCs w:val="24"/>
        </w:rPr>
        <w:t xml:space="preserve">, Ahrefs Blog, https://ahrefs.com/blog/generative-engines-are-breaking-web-analytics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 2025 – Prognozy przychodów z SEO i Content Marketingu w dobie AI </w:t>
      </w:r>
      <w:r>
        <w:rPr>
          <w:rFonts w:ascii="calibri" w:hAnsi="calibri" w:eastAsia="calibri" w:cs="calibri"/>
          <w:sz w:val="24"/>
          <w:szCs w:val="24"/>
        </w:rPr>
        <w:t xml:space="preserve">— Harbingers, Openfield, Senuto, Ahrefs, Similarweb: https://raport.harbingers.io/ecommerce-cm-seo-25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Are AI Chatbots Replacing Search Engines? (April 2023–March 2025) - </w:t>
      </w:r>
      <w:r>
        <w:rPr>
          <w:rFonts w:ascii="calibri" w:hAnsi="calibri" w:eastAsia="calibri" w:cs="calibri"/>
          <w:sz w:val="24"/>
          <w:szCs w:val="24"/>
        </w:rPr>
        <w:t xml:space="preserve">OneLittleWeb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2026-04-05T04:48:43+02:00</dcterms:created>
  <dcterms:modified xsi:type="dcterms:W3CDTF">2026-04-05T04:48:43+02:00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