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partnerem Meet Commerce 2026. W programie warsztat o spójności marki w erze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dołącza do grona partnerów Meet Commerce Polska 2026 – jednej z najważniejszych konferencji branży e-commerce i retail w Polsce, która odbędzie się 20-21 kwietnia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Meet Commerce to wydarzenie skoncentrowane na koncepcji Unified Commerce</w:t>
      </w:r>
      <w:r>
        <w:rPr>
          <w:rFonts w:ascii="calibri" w:hAnsi="calibri" w:eastAsia="calibri" w:cs="calibri"/>
          <w:sz w:val="24"/>
          <w:szCs w:val="24"/>
        </w:rPr>
        <w:t xml:space="preserve">, integracji wszystkich kanałów sprzedaży, danych i doświadczenia klienta w spójną strategię biznesową. Program obejmuje praktyczne prezentacje, panele dyskusyjne oraz wymianę doświadczeń między liderami rynku i ekspertami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Airport Hotel Okęcie w Warszawie, a udział w niej jest biletowany – szczegóły oraz rejestracja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https://meetcommerce.pl/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tegorocznej edycji, drugiego dnia konferencji, warsztat poprowadzi Krzysztof Kobylarz, Head of Strategy &amp; 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wystąpienia: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Unified Brand Voice: Jak AI pilnuje spójności, która sprzedaje (zanim klient trafi do koszyka)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koncentruje się na roli spójnej komunikacji marki w środowisku omnichannel oraz na tym, jak wykorzystać AI do zarządzania doświadczeniem klienta jeszcze przed momentem zakupu. To praktyczne spojrzenie na jeden z kluczowych, a często pomijanych elementów Unified Commerce – konsekwencję komunikacji na każdym styku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Harbingers z Meet Commerce 2026 to kolejny krok w budowaniu obecności agencji w obszarze strategicznego marketingu i transformacji e-commerce.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commerce.pl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2026-05-23T02:42:54+02:00</dcterms:created>
  <dcterms:modified xsi:type="dcterms:W3CDTF">2026-05-23T02:42:54+02:00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