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udostępnia bezpłatny kurs online o płatnych kampaniach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agencja digital marketingu, udostępniła bezpłatny kurs online Płatne kampanie w 2026 roku – jak dbać o zysk, a nie tylko o przychód?. Materiały edukacyjne skierowane są do marketerów, liderów e-commerce, specjalistów performance oraz menedżerów odpowiedzialnych za budżety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kursu jest pokazanie, jak w zmieniającym się środowisku reklamowym prowadzić kampanie PPC tak, aby przekładały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realny zysk biznesowy</w:t>
      </w:r>
      <w:r>
        <w:rPr>
          <w:rFonts w:ascii="calibri" w:hAnsi="calibri" w:eastAsia="calibri" w:cs="calibri"/>
          <w:sz w:val="24"/>
          <w:szCs w:val="24"/>
        </w:rPr>
        <w:t xml:space="preserve">, a nie jedynie na wyniki widoczne w panelach reklamowych. Projekt powstał na podstawie doświadczeń zespołu Harbingers z pracy na kontach reklamowych w e-commerce i B2B oraz analizy zmian w algorytmach Google i Meta.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obejmuje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powodów rosnących kosztów kampanii PPC,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wpływ utraty danych (signal loss) na skuteczność reklam,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podejście do automatyzacji i AI w systemach reklamowych,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planowania kampanii pod marżę i realny zysk,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kampanii e-commerce i B2B pod jakość sprzedaży i leadów,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schemat raportowania wyników wspierający decyzje budżetowe.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został zaprojektowany w formie krótkich lekcji wideo, które uczestnicy mogą realizować we własnym tempie. Po obejrzeniu materiałów dostępny jest </w:t>
      </w:r>
      <w:r>
        <w:rPr>
          <w:rFonts w:ascii="calibri" w:hAnsi="calibri" w:eastAsia="calibri" w:cs="calibri"/>
          <w:sz w:val="24"/>
          <w:szCs w:val="24"/>
          <w:b/>
        </w:rPr>
        <w:t xml:space="preserve">test wiedzy</w:t>
      </w:r>
      <w:r>
        <w:rPr>
          <w:rFonts w:ascii="calibri" w:hAnsi="calibri" w:eastAsia="calibri" w:cs="calibri"/>
          <w:sz w:val="24"/>
          <w:szCs w:val="24"/>
        </w:rPr>
        <w:t xml:space="preserve">, a osoby, które uzyskają minimum 90% poprawnych odpowiedzi, otrzymują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ukończenia kursu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kursu będą mogli również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sesji live Q&amp;A z ekspertem</w:t>
      </w:r>
      <w:r>
        <w:rPr>
          <w:rFonts w:ascii="calibri" w:hAnsi="calibri" w:eastAsia="calibri" w:cs="calibri"/>
          <w:sz w:val="24"/>
          <w:szCs w:val="24"/>
        </w:rPr>
        <w:t xml:space="preserve">, podczas której omawiane będą pytania dotyczące materiałów oraz realnych problemów związanych z prowadzeniem kampanii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technologicznym kursu jest GetResponse</w:t>
      </w:r>
      <w:r>
        <w:rPr>
          <w:rFonts w:ascii="calibri" w:hAnsi="calibri" w:eastAsia="calibri" w:cs="calibri"/>
          <w:sz w:val="24"/>
          <w:szCs w:val="24"/>
        </w:rPr>
        <w:t xml:space="preserve">, którego platforma została wykorzystana do udostępnienia materiałów edukacyjnych i obsługi procesu rejestracji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kursu jest bezpłatny po rejestracji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https://kurs.harbingers.io/kampanie-26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.harbingers.io/kampanie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2026-04-29T10:29:25+02:00</dcterms:created>
  <dcterms:modified xsi:type="dcterms:W3CDTF">2026-04-29T10:29:25+02:00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