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 5 nominacjami w finale European Paid Media Awards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znalazła się w finale European Paid Media Awards 2026, jednego z najważniejszych europejskich konkursów branżowych poświęconych kampaniom płatnym. W tegorocznej edycji agencja otrzymała 5 finałowych nominacji za projekty zrealizowane dla swoich Partnerów: marek Skalnik, Kärcher Professional, enova365, BoboWózki oraz Oknoplast.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Paid Media Awards wyróżnia kampanie, strategie, zespoły i narzędzia, które wyznaczają standardy skuteczności w płatnej reklamie internetowej. W konkursie oceniane są m.in. działania z obszaru paid search, paid social, shopping ads, e-commerce, lead generation, B2B, finansów, automatyzacji i wykorzystania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tegorocznej edycji projekty Harbingers zostały nominowane w 5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Shopping Ads Campaign of the Year</w:t>
      </w:r>
    </w:p>
    <w:p>
      <w:r>
        <w:rPr>
          <w:rFonts w:ascii="calibri" w:hAnsi="calibri" w:eastAsia="calibri" w:cs="calibri"/>
          <w:sz w:val="24"/>
          <w:szCs w:val="24"/>
        </w:rPr>
        <w:t xml:space="preserve">Harbingers &amp; Skalnik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B2B Campaign of the Year</w:t>
      </w:r>
    </w:p>
    <w:p>
      <w:r>
        <w:rPr>
          <w:rFonts w:ascii="calibri" w:hAnsi="calibri" w:eastAsia="calibri" w:cs="calibri"/>
          <w:sz w:val="24"/>
          <w:szCs w:val="24"/>
        </w:rPr>
        <w:t xml:space="preserve">Harbingers &amp; Karcher Professional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Finance Campaign of the Year</w:t>
      </w:r>
    </w:p>
    <w:p>
      <w:r>
        <w:rPr>
          <w:rFonts w:ascii="calibri" w:hAnsi="calibri" w:eastAsia="calibri" w:cs="calibri"/>
          <w:sz w:val="24"/>
          <w:szCs w:val="24"/>
        </w:rPr>
        <w:t xml:space="preserve">Harbingers &amp; enova365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Ecommerce Campaign of the Year</w:t>
      </w:r>
    </w:p>
    <w:p>
      <w:r>
        <w:rPr>
          <w:rFonts w:ascii="calibri" w:hAnsi="calibri" w:eastAsia="calibri" w:cs="calibri"/>
          <w:sz w:val="24"/>
          <w:szCs w:val="24"/>
        </w:rPr>
        <w:t xml:space="preserve">Harbingers &amp; BoboWózki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Lead Gen Campaign of the Year</w:t>
      </w:r>
    </w:p>
    <w:p>
      <w:r>
        <w:rPr>
          <w:rFonts w:ascii="calibri" w:hAnsi="calibri" w:eastAsia="calibri" w:cs="calibri"/>
          <w:sz w:val="24"/>
          <w:szCs w:val="24"/>
        </w:rPr>
        <w:t xml:space="preserve">Harbingers &amp;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Oknoplast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Nominowane projekty pokazują szerokie zastosowanie paid media w różnych modelach biznesowych: od e-commerce i kampanii shoppingowych, przez B2B i sektor finansowy, po działania full-funnel nastawione na generowanie jakościowych leadów. Wspólnym mianownikiem wszystkich zgłoszeń są konkretne wyniki biznesowe, praca na danych oraz dopasowanie strategii mediowej do specyfiki sprzedaży, sezonowości i intencji użytkowników.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Shortlista wszystkich finałowych nominacji dostępna jest na stronie organizatora konkursu: </w:t>
      </w:r>
      <w:r>
        <w:rPr>
          <w:rFonts w:ascii="calibri" w:hAnsi="calibri" w:eastAsia="calibri" w:cs="calibri"/>
          <w:sz w:val="24"/>
          <w:szCs w:val="24"/>
        </w:rPr>
        <w:t xml:space="preserve">https://europeanpaidmediaawards.com/2026-shortlist/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European Paid Media Awards 2026 zostaną ogłoszeni 13 sierpnia 2026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2026-06-22T12:36:56+02:00</dcterms:created>
  <dcterms:modified xsi:type="dcterms:W3CDTF">2026-06-22T12:36:56+02:00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