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z ekosystemu Google - kluczowe zmiany w strategiach PPC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obliczu rosnącej konkurencji i zmieniających się wymagań rynku, jednym z najważniejszych narzędzi, które umożliwia firmom osiąganie lepszych wyników w kampaniach PPC, jest sztuczna inteligencja (AI). Zgodnie z najnowszymi danymi, AI nie jest już opcją, ale absolutną koniecznością, jeśli firmy mają utrzymać konkurencyjność i skutecznie adaptować się do dynamicznych warunków.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Trendy rynkowe i zachowania konsumentów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Rynki e-commerce w Polsce rosną w szybkim tempie. Prognozy wskazują na wzrost o 7,2% w 2025 roku, a sprzedaż online wzrosła o 12,4% r/r, przy czym sprzedaż transgraniczna zanotowała jeszcze większy wzrost – o 25,2% r/r. Kluczowym trendem, który wyłania się z analiz, jest rosnąca potrzeba "Value Shopping" – konsumenci stawiają na zakup wartościowych produktów, co ma ogromny wpływ na sposób planowania kampanii marketingowych.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Rewolucyjne narzędzia kreatywne i innowacje w YouTube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wprowadza także przełomowe narzędzie – </w:t>
      </w:r>
      <w:r>
        <w:rPr>
          <w:rFonts w:ascii="calibri" w:hAnsi="calibri" w:eastAsia="calibri" w:cs="calibri"/>
          <w:sz w:val="24"/>
          <w:szCs w:val="24"/>
          <w:b/>
        </w:rPr>
        <w:t xml:space="preserve">VEO 3</w:t>
      </w:r>
      <w:r>
        <w:rPr>
          <w:rFonts w:ascii="calibri" w:hAnsi="calibri" w:eastAsia="calibri" w:cs="calibri"/>
          <w:sz w:val="24"/>
          <w:szCs w:val="24"/>
        </w:rPr>
        <w:t xml:space="preserve">, model AI do generowania wideo z tekstu, które pozwala na tworzenie materiałów wideo o jakości niemal kinowej. Jest to przykład jak AI wpływa na rozwój mediów w reklamie, umożliwiając bardziej efektywne tworzenie treści. Z kolei platforma YouTube wprowadza funkcję </w:t>
      </w:r>
      <w:r>
        <w:rPr>
          <w:rFonts w:ascii="calibri" w:hAnsi="calibri" w:eastAsia="calibri" w:cs="calibri"/>
          <w:sz w:val="24"/>
          <w:szCs w:val="24"/>
          <w:b/>
        </w:rPr>
        <w:t xml:space="preserve">Open Call w BrandConnect</w:t>
      </w:r>
      <w:r>
        <w:rPr>
          <w:rFonts w:ascii="calibri" w:hAnsi="calibri" w:eastAsia="calibri" w:cs="calibri"/>
          <w:sz w:val="24"/>
          <w:szCs w:val="24"/>
        </w:rPr>
        <w:t xml:space="preserve">, która umożliwia łatwiejszą współpracę marek z twórcami treści, co znacząco zwiększa zasięg i angażowanie odbiorców.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Ekspertyza w AI jako przewaga konkurencyjna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Google i Boston Consulting Group wynika, że agencje marketingowe są średnio o 35% bardziej zaawansowane w wykorzystaniu AI w marketingu niż reklamodawcy. Współczesne podejście do marketingu, oparte na AI, daje firmom możliwość szybszej adaptacji do rynku, personalizacji ofert, pomiaru ROI w czasie rzeczywistym i optymalizacji działań reklamowych.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Odpowiadając na pytanie, jaki jest klucz do szybszej adaptacji do wymagań rynku i lepszego ROI w kampaniach PPC – zdecydowanie korzystanie z AI, które obecnie nie jest już opcją, ale koniecznością, żeby zdobyć przewagę rynkową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Borys Marushchak - Performance Marketing Manager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agencji digital marketingowej Harbingers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Wnioski strategiczne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 staje się fundamentem skutecznych kampanii PPC. To narzędzie, które pozwala nie tylko na optymalizację działań w czasie rzeczywistym, lecz także na personalizację ofert i lepsze dopasowanie treści do potrzeb konsumentów. Firmy, które zainwestują w AI, zyskają przewagę konkurencyjną, zwiększą efektywność swoich kampanii i przyspieszą adaptację do ciągle zmieniającego się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Think with Google: Advertising Agency Partnership AI Adoption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Think with Google: CMO AI Adoption Survey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 Trends Report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Google Cloud: VEO 3 Public Preview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rbingers.io/" TargetMode="External"/><Relationship Id="rId8" Type="http://schemas.openxmlformats.org/officeDocument/2006/relationships/hyperlink" Target="https://www.thinkwithgoogle.com/marketing-strategies/automation/advertising-agency-partnership-ai-adoption/" TargetMode="External"/><Relationship Id="rId9" Type="http://schemas.openxmlformats.org/officeDocument/2006/relationships/hyperlink" Target="https://www.thinkwithgoogle.com/marketing-strategies/automation/irg-cmo-ai-adoption-survey/" TargetMode="External"/><Relationship Id="rId10" Type="http://schemas.openxmlformats.org/officeDocument/2006/relationships/hyperlink" Target="https://blog.youtube/culture-and-trends/trends-report-20th/" TargetMode="External"/><Relationship Id="rId11" Type="http://schemas.openxmlformats.org/officeDocument/2006/relationships/hyperlink" Target="https://cloud.google.com/blog/products/ai-machine-learning/veo-3-available-for-everyone-in-public-preview-on-vertex-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2025-11-30T22:53:08+01:00</dcterms:created>
  <dcterms:modified xsi:type="dcterms:W3CDTF">2025-11-30T22:53:08+01:00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