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lat współpracy LINK4 i Harbingers. SEO w ubezpieczeniach wchodzi w erę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ubezpieczeniowa od kilku lat intensywnie walczy o widoczność w wyszukiwarkach, a 2025 rok dodatkowo przyspieszył transformację za sprawą AI. Na tym tle trwa już pięć lat współpracy pomiędzy LINK4, jednym z liderów rynku ubezpieczeń komunikacyjnych, oraz Harbingers, agencją digital marketingową.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 kompleksowa obecność LINK4 w wyszukiwarce Google oraz adaptacja strategii SEO do nowych realiów związanych z AI Overviews i modelami językowymi (LLM).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rozpoczęła się pod koniec 2020 roku. Celem było zbudowanie skalowalnej widoczności organicznej dla kluczowych produktów ubezpieczeniowych.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praktyce obejmowało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edukacyjnych content hubów,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pokrycie fraz generycznych i long-tail,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pozwolił LINK4 być obecnym na każdym etapie ścieżki klienta od rozeznania w temacie, przez analizę ofert, po gotowość do zakupu polisy. Ostatnie miesiące to intensywna adaptacja strategii do zmieniającego się ekosystemu wyszukiwarek. LINK4 i Harbingers koncentrują się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Overviews (SGE) </w:t>
      </w:r>
      <w:r>
        <w:rPr>
          <w:rFonts w:ascii="calibri" w:hAnsi="calibri" w:eastAsia="calibri" w:cs="calibri"/>
          <w:sz w:val="24"/>
          <w:szCs w:val="24"/>
        </w:rPr>
        <w:t xml:space="preserve">— optymalizacji treści pod podsumowania generowane przez sztuczną inteligencję,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widoczności w LLM </w:t>
      </w:r>
      <w:r>
        <w:rPr>
          <w:rFonts w:ascii="calibri" w:hAnsi="calibri" w:eastAsia="calibri" w:cs="calibri"/>
          <w:sz w:val="24"/>
          <w:szCs w:val="24"/>
        </w:rPr>
        <w:t xml:space="preserve">— budowaniu autorytetu marki w odpowiedziach dużych modeli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relacja z LINK4 to więcej niż współpraca klient–agencja. To partnerskie podejście, które pozwala testować nowatorskie rozwiązania i szybciej reagować na zmiany w wyszukiwarkach. Połączenie zaufania, przepływu wiedzy oraz konsekwentnego działania sprawia, że osiągamy założone KPI i wyprzedzamy rynek</w:t>
      </w:r>
      <w:r>
        <w:rPr>
          <w:rFonts w:ascii="calibri" w:hAnsi="calibri" w:eastAsia="calibri" w:cs="calibri"/>
          <w:sz w:val="24"/>
          <w:szCs w:val="24"/>
        </w:rPr>
        <w:t xml:space="preserve"> —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Barbara Stachnik, Head of Key Clients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LINK4 od lat inwestujemy w kanał organiczny, bo widzimy, jak kluczowa jest edukacja klientów. Wchodzimy teraz w nowy etap — SEO w obszarze AI. To dla nas naturalny kierunek, który wspiera misję uproszczania ubezpieczeń i dostarczania rzetelnych informacji tam, gdzie szuka ich użytkownik.</w:t>
      </w:r>
      <w:r>
        <w:rPr>
          <w:rFonts w:ascii="calibri" w:hAnsi="calibri" w:eastAsia="calibri" w:cs="calibri"/>
          <w:sz w:val="24"/>
          <w:szCs w:val="24"/>
        </w:rPr>
        <w:t xml:space="preserve">—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Nawrocki, Kierownik Departamentu Sprzedaży E-Commerce w LINK4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fakty o współpracy LINK4 × Harbingers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Start: Q4 2020,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Zakres: SEO + Content Marketing + optymalizacja AI Overviews,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Obszar: ubezpieczenia direct,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to zwiększenie widoczności organicznej i efektywności treści na całej ścieżce zakupowej.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2026-06-28T22:33:13+02:00</dcterms:created>
  <dcterms:modified xsi:type="dcterms:W3CDTF">2026-06-28T22:33:13+02:00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