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lat współpracy LINK4 i Harbingers. SEO w ubezpieczeniach wchodzi w erę AI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Branża ubezpieczeniowa od kilku lat intensywnie walczy o widoczność w wyszukiwarkach, a 2025 rok dodatkowo przyspieszył transformację za sprawą AI. Na tym tle trwa już pięć lat współpracy pomiędzy LINK4, jednym z liderów rynku ubezpieczeń komunikacyjnych, oraz Harbingers, agencją digital marketingową.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Efektem jest kompleksowa obecność LINK4 w wyszukiwarce Google oraz adaptacja strategii SEO do nowych realiów związanych z AI Overviews i modelami językowymi (LLM).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rozpoczęła się pod koniec 2020 roku. Celem było zbudowanie skalowalnej widoczności organicznej dla kluczowych produktów ubezpieczeniowych.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praktyce obejmowało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rozwój edukacyjnych content hubów,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pokrycie fraz generycznych i long-tail,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optymalizację konwersji.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ten pozwolił LINK4 być obecnym na każdym etapie ścieżki klienta od rozeznania w temacie, przez analizę ofert, po gotowość do zakupu polisy. Ostatnie miesiące to intensywna adaptacja strategii do zmieniającego się ekosystemu wyszukiwarek. LINK4 i Harbingers koncentrują się m.in. na: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AI Overviews (SGE) </w:t>
      </w:r>
      <w:r>
        <w:rPr>
          <w:rFonts w:ascii="calibri" w:hAnsi="calibri" w:eastAsia="calibri" w:cs="calibri"/>
          <w:sz w:val="24"/>
          <w:szCs w:val="24"/>
        </w:rPr>
        <w:t xml:space="preserve">— optymalizacji treści pod podsumowania generowane przez sztuczną inteligencję,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widoczności w LLM </w:t>
      </w:r>
      <w:r>
        <w:rPr>
          <w:rFonts w:ascii="calibri" w:hAnsi="calibri" w:eastAsia="calibri" w:cs="calibri"/>
          <w:sz w:val="24"/>
          <w:szCs w:val="24"/>
        </w:rPr>
        <w:t xml:space="preserve">— budowaniu autorytetu marki w odpowiedziach dużych modeli językowych.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Nasza relacja z LINK4 to więcej niż współpraca klient–agencja. To partnerskie podejście, które pozwala testować nowatorskie rozwiązania i szybciej reagować na zmiany w wyszukiwarkach. Połączenie zaufania, przepływu wiedzy oraz konsekwentnego działania sprawia, że osiągamy założone KPI i wyprzedzamy rynek</w:t>
      </w:r>
      <w:r>
        <w:rPr>
          <w:rFonts w:ascii="calibri" w:hAnsi="calibri" w:eastAsia="calibri" w:cs="calibri"/>
          <w:sz w:val="24"/>
          <w:szCs w:val="24"/>
        </w:rPr>
        <w:t xml:space="preserve"> — mówi </w:t>
      </w:r>
      <w:r>
        <w:rPr>
          <w:rFonts w:ascii="calibri" w:hAnsi="calibri" w:eastAsia="calibri" w:cs="calibri"/>
          <w:sz w:val="24"/>
          <w:szCs w:val="24"/>
          <w:b/>
        </w:rPr>
        <w:t xml:space="preserve">Barbara Stachnik, Head of Key Clients w Harbingers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LINK4 od lat inwestujemy w kanał organiczny, bo widzimy, jak kluczowa jest edukacja klientów. Wchodzimy teraz w nowy etap — SEO w obszarze AI. To dla nas naturalny kierunek, który wspiera misję uproszczania ubezpieczeń i dostarczania rzetelnych informacji tam, gdzie szuka ich użytkownik.</w:t>
      </w:r>
      <w:r>
        <w:rPr>
          <w:rFonts w:ascii="calibri" w:hAnsi="calibri" w:eastAsia="calibri" w:cs="calibri"/>
          <w:sz w:val="24"/>
          <w:szCs w:val="24"/>
        </w:rPr>
        <w:t xml:space="preserve">—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Marcin Nawrocki, Kierownik Departamentu Sprzedaży E-Commerce w LINK4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Wybrane fakty o współpracy LINK4 × Harbingers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Start: Q4 2020,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Zakres: SEO + Content Marketing + optymalizacja AI Overviews,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Obszar: ubezpieczenia direct,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Cel to zwiększenie widoczności organicznej i efektywności treści na całej ścieżce zakupowej.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2026-08-23T09:22:02+02:00</dcterms:created>
  <dcterms:modified xsi:type="dcterms:W3CDTF">2026-08-23T09:22:02+02:00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