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Anna Marszałek obejmuje stanowisko Head of Marketing w agencji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 października Anna Marszałek pełni funkcję Head of Marketing w agencji Harbingers.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Odpowiada za pozyskiwanie nowych klientów, komunikację marki, PR, eventy i media społecznościowe.</w:t>
      </w:r>
    </w:p>
    <w:p>
      <w:r>
        <w:rPr>
          <w:rFonts w:ascii="calibri" w:hAnsi="calibri" w:eastAsia="calibri" w:cs="calibri"/>
          <w:sz w:val="24"/>
          <w:szCs w:val="24"/>
        </w:rPr>
        <w:t xml:space="preserve">W strukturze agencji podlega Piotrowi Kwincie, partnerowi Harbingers i członkowi zarządu.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Przez ostatnie 10 lat pracowała po stronie marek modowych i e-commerce.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„Przez dekadę pracowałam po drugiej stronie: wybierałam agencje, briefowałam je i rozliczałam. Wiem, po czym marketer poznaje, że agencja go rozumie. Teraz chcę wykorzystać to doświadczenie, by Harbingers jeszcze lepiej docierało do firm z sektora e-commerce oraz B2B i jasno pokazywało, jak rozwiązujemy ich problemy” - mówi Anna Marszałek.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Harbingers wspiera rozwój firm w erze Agentic AI, łącząc dane, technologię i kreatywność. Agencja odpowiada za kompleksowe doświadczenie marki - od budowania jej wizerunku, przez performance marketing, po działania wspierające lojalność klientów.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2026-10-14T02:05:59+02:00</dcterms:created>
  <dcterms:modified xsi:type="dcterms:W3CDTF">2026-10-14T02:05:59+02:00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