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wydaje bezpłatny Playbook Content &amp; SEO 2026–2030. 19 ekspertów i ponad 130 stron o treściach, które pracują na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udostępnia bezpłatny Playbook Content &amp; SEO 2026–2030 – praktyczny przewodnik dla osób odpowiedzialnych za marketing, content, SEO, e-commerce oraz rozwój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liczy ponad 130 stron i zbiera perspektywy 17 ekspertów oraz praktyków rynku. Odpowiadają oni na pytania o przyszłość content marketingu i SEO, widoczność marek w Google i narzędziach AI, priorytety w planowaniu treści oraz mierzenie ich wpływu na sprzedaż, leady i decyzje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playbooku znalazły się wypowiedzi ekspertów i praktyków reprezentujących różne obszary rynku: content marketing, SEO, e-commerce, marketing, sprzedaż, komunikację, automatyzację, retencję i doświadczenie klienta. Swoimi komentarzami podzielili się m.in. przedstawiciele takich firm jak </w:t>
      </w:r>
      <w:r>
        <w:rPr>
          <w:rFonts w:ascii="calibri" w:hAnsi="calibri" w:eastAsia="calibri" w:cs="calibri"/>
          <w:sz w:val="24"/>
          <w:szCs w:val="24"/>
          <w:b/>
        </w:rPr>
        <w:t xml:space="preserve">Empik, Solartech, Tpay, SMSAPI, Traffit, PushPushGo, OpenGift.pl, Zdrowie.pl, Sklepogrodniczy.pl,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Sklepfarmera.pl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wodadlafirmy.pl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GetResponse.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Wydanie playbooka wspierają partnerzy technologiczni i medialni. Partnerem technologicznym publikacji jest </w:t>
      </w:r>
      <w:r>
        <w:rPr>
          <w:rFonts w:ascii="calibri" w:hAnsi="calibri" w:eastAsia="calibri" w:cs="calibri"/>
          <w:sz w:val="24"/>
          <w:szCs w:val="24"/>
          <w:b/>
        </w:rPr>
        <w:t xml:space="preserve">GetResponse</w:t>
      </w:r>
      <w:r>
        <w:rPr>
          <w:rFonts w:ascii="calibri" w:hAnsi="calibri" w:eastAsia="calibri" w:cs="calibri"/>
          <w:sz w:val="24"/>
          <w:szCs w:val="24"/>
        </w:rPr>
        <w:t xml:space="preserve">, natomiast partnerami medialnymi są: </w:t>
      </w:r>
      <w:r>
        <w:rPr>
          <w:rFonts w:ascii="calibri" w:hAnsi="calibri" w:eastAsia="calibri" w:cs="calibri"/>
          <w:sz w:val="24"/>
          <w:szCs w:val="24"/>
          <w:b/>
        </w:rPr>
        <w:t xml:space="preserve">biznes2biznes.com, aboutMarketing, e-biznes.pl, Business Impact Review oraz Gazeta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znajdują się także komentarze Harbingers, praktyczne checklisty, autodiagnoza istniejących zasobów oraz rekomendacje pomagające zdecydować, jakie treści tworzyć, które aktualizować i jak mierzyć ich rzeczywistą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Playbook Content &amp; SEO 2026–2030 dostępny jest na stronie: </w:t>
      </w:r>
      <w:r>
        <w:rPr>
          <w:rFonts w:ascii="calibri" w:hAnsi="calibri" w:eastAsia="calibri" w:cs="calibri"/>
          <w:sz w:val="24"/>
          <w:szCs w:val="24"/>
        </w:rPr>
        <w:t xml:space="preserve">https://ebook.harbingers.io/playbook-seo-cm-26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farmera.pl" TargetMode="External"/><Relationship Id="rId8" Type="http://schemas.openxmlformats.org/officeDocument/2006/relationships/hyperlink" Target="http://wodadlafir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2026-07-16T14:07:53+02:00</dcterms:created>
  <dcterms:modified xsi:type="dcterms:W3CDTF">2026-07-16T14:07:53+02:00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