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wydaje bezpłatny Playbook Content &amp; SEO 2026–2030. 19 ekspertów i ponad 130 stron o treściach, które pracują na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udostępnia bezpłatny Playbook Content &amp; SEO 2026–2030 – praktyczny przewodnik dla osób odpowiedzialnych za marketing, content, SEO, e-commerce oraz rozwój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liczy ponad 130 stron i zbiera perspektywy 17 ekspertów oraz praktyków rynku. Odpowiadają oni na pytania o przyszłość content marketingu i SEO, widoczność marek w Google i narzędziach AI, priorytety w planowaniu treści oraz mierzenie ich wpływu na sprzedaż, leady i decyzje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playbooku znalazły się wypowiedzi ekspertów i praktyków reprezentujących różne obszary rynku: content marketing, SEO, e-commerce, marketing, sprzedaż, komunikację, automatyzację, retencję i doświadczenie klienta. Swoimi komentarzami podzielili się m.in. przedstawiciele takich firm jak </w:t>
      </w:r>
      <w:r>
        <w:rPr>
          <w:rFonts w:ascii="calibri" w:hAnsi="calibri" w:eastAsia="calibri" w:cs="calibri"/>
          <w:sz w:val="24"/>
          <w:szCs w:val="24"/>
          <w:b/>
        </w:rPr>
        <w:t xml:space="preserve">Empik, Solartech, Tpay, SMSAPI, Traffit, PushPushGo, OpenGift.pl, Zdrowie.pl, Sklepogrodniczy.pl,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Sklepfarmera.pl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wodadlafirmy.pl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GetResponse.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Wydanie playbooka wspierają partnerzy technologiczni i medialni. Partnerem technologicznym publikacji jest </w:t>
      </w:r>
      <w:r>
        <w:rPr>
          <w:rFonts w:ascii="calibri" w:hAnsi="calibri" w:eastAsia="calibri" w:cs="calibri"/>
          <w:sz w:val="24"/>
          <w:szCs w:val="24"/>
          <w:b/>
        </w:rPr>
        <w:t xml:space="preserve">GetResponse</w:t>
      </w:r>
      <w:r>
        <w:rPr>
          <w:rFonts w:ascii="calibri" w:hAnsi="calibri" w:eastAsia="calibri" w:cs="calibri"/>
          <w:sz w:val="24"/>
          <w:szCs w:val="24"/>
        </w:rPr>
        <w:t xml:space="preserve">, natomiast partnerami medialnymi są: </w:t>
      </w:r>
      <w:r>
        <w:rPr>
          <w:rFonts w:ascii="calibri" w:hAnsi="calibri" w:eastAsia="calibri" w:cs="calibri"/>
          <w:sz w:val="24"/>
          <w:szCs w:val="24"/>
          <w:b/>
        </w:rPr>
        <w:t xml:space="preserve">biznes2biznes.com, aboutMarketing, e-biznes.pl, Business Impact Review oraz Gazeta MSP.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znajdują się także komentarze Harbingers, praktyczne checklisty, autodiagnoza istniejących zasobów oraz rekomendacje pomagające zdecydować, jakie treści tworzyć, które aktualizować i jak mierzyć ich rzeczywistą wartość.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Playbook Content &amp; SEO 2026–2030 dostępny jest na stronie: </w:t>
      </w:r>
      <w:r>
        <w:rPr>
          <w:rFonts w:ascii="calibri" w:hAnsi="calibri" w:eastAsia="calibri" w:cs="calibri"/>
          <w:sz w:val="24"/>
          <w:szCs w:val="24"/>
        </w:rPr>
        <w:t xml:space="preserve">https://ebook.harbingers.io/playbook-seo-cm-26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lepfarmera.pl" TargetMode="External"/><Relationship Id="rId8" Type="http://schemas.openxmlformats.org/officeDocument/2006/relationships/hyperlink" Target="http://wodadlafir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2026-10-31T17:23:46+01:00</dcterms:created>
  <dcterms:modified xsi:type="dcterms:W3CDTF">2026-10-31T17:23:46+01:00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