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before="0" w:after="600" w:line="240" w:lineRule="auto"/>
      </w:pPr>
      <w:r>
        <w:rPr>
          <w:rFonts w:ascii="calibri" w:hAnsi="calibri" w:eastAsia="calibri" w:cs="calibri"/>
          <w:sz w:val="52"/>
          <w:szCs w:val="52"/>
          <w:b/>
        </w:rPr>
        <w:t xml:space="preserve">Zwiększ swoją widoczność i zaistniej w LLM’ach w 2026 roku – bezpłatny kurs online Harbingers</w:t>
      </w:r>
    </w:p>
    <w:p>
      <w:pPr>
        <w:spacing w:before="0" w:after="500" w:line="264" w:lineRule="auto"/>
      </w:pPr>
      <w:r>
        <w:rPr>
          <w:rFonts w:ascii="calibri" w:hAnsi="calibri" w:eastAsia="calibri" w:cs="calibri"/>
          <w:sz w:val="36"/>
          <w:szCs w:val="36"/>
          <w:b/>
        </w:rPr>
        <w:t xml:space="preserve">Agencja digital marketingowa Harbingers stworzyła bezpłatny kurs online Zwiększ swoją widoczność i zaistniej w LLM’ach w 2026 roku, którego celem jest wyposażenie firm w konkretne narzędzia i strategię wejścia w obszar wyszukiwania generatywnego, modeli językowych (LLM) oraz AI-first search</w:t>
      </w:r>
    </w:p>
    <w:p/>
    <w:p>
      <w:r>
        <w:rPr>
          <w:rFonts w:ascii="calibri" w:hAnsi="calibri" w:eastAsia="calibri" w:cs="calibri"/>
          <w:sz w:val="24"/>
          <w:szCs w:val="24"/>
        </w:rPr>
        <w:t xml:space="preserve"> </w:t>
      </w:r>
    </w:p>
    <w:p>
      <w:pPr>
        <w:spacing w:before="0" w:after="300"/>
      </w:pPr>
      <w:r>
        <w:rPr>
          <w:rFonts w:ascii="calibri" w:hAnsi="calibri" w:eastAsia="calibri" w:cs="calibri"/>
          <w:sz w:val="24"/>
          <w:szCs w:val="24"/>
          <w:b/>
        </w:rPr>
        <w:t xml:space="preserve">Co oferuje kurs?</w:t>
      </w:r>
    </w:p>
    <w:p>
      <w:pPr>
        <w:spacing w:before="0" w:after="0"/>
      </w:pPr>
      <w:r>
        <w:rPr>
          <w:rFonts w:ascii="Wingdings" w:hAnsi="Wingdings" w:eastAsia="Wingdings" w:cs="Wingdings"/>
          <w:sz w:val="14"/>
          <w:szCs w:val="14"/>
        </w:rPr>
        <w:t xml:space="preserve">l </w:t>
      </w:r>
      <w:r>
        <w:rPr>
          <w:rFonts w:ascii="calibri" w:hAnsi="calibri" w:eastAsia="calibri" w:cs="calibri"/>
          <w:sz w:val="24"/>
          <w:szCs w:val="24"/>
          <w:b/>
        </w:rPr>
        <w:t xml:space="preserve">Dedykowane moduły branżowe</w:t>
      </w:r>
      <w:r>
        <w:rPr>
          <w:rFonts w:ascii="calibri" w:hAnsi="calibri" w:eastAsia="calibri" w:cs="calibri"/>
          <w:sz w:val="24"/>
          <w:szCs w:val="24"/>
        </w:rPr>
        <w:t xml:space="preserve"> (Fashion, Medyczna, DIY / Ogród i Dom, RTV/AGD, Automotive oraz moduł ogólny) – tak, by uczestnik mógł dobrać materiały ściśle do swojej działalności.</w:t>
      </w:r>
    </w:p>
    <w:p>
      <w:pPr>
        <w:spacing w:before="0" w:after="0"/>
      </w:pPr>
      <w:r>
        <w:rPr>
          <w:rFonts w:ascii="Wingdings" w:hAnsi="Wingdings" w:eastAsia="Wingdings" w:cs="Wingdings"/>
          <w:sz w:val="14"/>
          <w:szCs w:val="14"/>
        </w:rPr>
        <w:t xml:space="preserve">l </w:t>
      </w:r>
      <w:r>
        <w:rPr>
          <w:rFonts w:ascii="calibri" w:hAnsi="calibri" w:eastAsia="calibri" w:cs="calibri"/>
          <w:sz w:val="24"/>
          <w:szCs w:val="24"/>
          <w:b/>
        </w:rPr>
        <w:t xml:space="preserve">Materiały wideo i analizy oparte na rzeczywistych testach modeli</w:t>
      </w:r>
      <w:r>
        <w:rPr>
          <w:rFonts w:ascii="calibri" w:hAnsi="calibri" w:eastAsia="calibri" w:cs="calibri"/>
          <w:sz w:val="24"/>
          <w:szCs w:val="24"/>
        </w:rPr>
        <w:t xml:space="preserve"> – jak modele językowe interpretują treści i dane, jakie sygnały reputacji i wiarygodności premiują.</w:t>
      </w:r>
    </w:p>
    <w:p>
      <w:pPr>
        <w:spacing w:before="0" w:after="150"/>
      </w:pPr>
      <w:r>
        <w:rPr>
          <w:rFonts w:ascii="Wingdings" w:hAnsi="Wingdings" w:eastAsia="Wingdings" w:cs="Wingdings"/>
          <w:sz w:val="14"/>
          <w:szCs w:val="14"/>
        </w:rPr>
        <w:t xml:space="preserve">l </w:t>
      </w:r>
      <w:r>
        <w:rPr>
          <w:rFonts w:ascii="calibri" w:hAnsi="calibri" w:eastAsia="calibri" w:cs="calibri"/>
          <w:sz w:val="24"/>
          <w:szCs w:val="24"/>
          <w:b/>
        </w:rPr>
        <w:t xml:space="preserve">Listy działań i konkretne wskazówki</w:t>
      </w:r>
      <w:r>
        <w:rPr>
          <w:rFonts w:ascii="calibri" w:hAnsi="calibri" w:eastAsia="calibri" w:cs="calibri"/>
          <w:sz w:val="24"/>
          <w:szCs w:val="24"/>
        </w:rPr>
        <w:t xml:space="preserve"> – nie tylko teoria, ale praktyka wpisana w strategię widoczności w 2026 roku.</w:t>
      </w:r>
    </w:p>
    <w:p/>
    <w:p/>
    <w:p>
      <w:pPr>
        <w:spacing w:before="0" w:after="300"/>
      </w:pPr>
      <w:r>
        <w:rPr>
          <w:rFonts w:ascii="calibri" w:hAnsi="calibri" w:eastAsia="calibri" w:cs="calibri"/>
          <w:sz w:val="24"/>
          <w:szCs w:val="24"/>
          <w:b/>
        </w:rPr>
        <w:t xml:space="preserve">Dla kogo?</w:t>
      </w:r>
    </w:p>
    <w:p>
      <w:r>
        <w:rPr>
          <w:rFonts w:ascii="calibri" w:hAnsi="calibri" w:eastAsia="calibri" w:cs="calibri"/>
          <w:sz w:val="24"/>
          <w:szCs w:val="24"/>
        </w:rPr>
        <w:t xml:space="preserve">Kurs został stworzony z myślą o:</w:t>
      </w:r>
    </w:p>
    <w:p>
      <w:pPr>
        <w:spacing w:before="0" w:after="0"/>
      </w:pPr>
      <w:r>
        <w:rPr>
          <w:rFonts w:ascii="Wingdings" w:hAnsi="Wingdings" w:eastAsia="Wingdings" w:cs="Wingdings"/>
          <w:sz w:val="14"/>
          <w:szCs w:val="14"/>
        </w:rPr>
        <w:t xml:space="preserve">l </w:t>
      </w:r>
      <w:r>
        <w:rPr>
          <w:rFonts w:ascii="calibri" w:hAnsi="calibri" w:eastAsia="calibri" w:cs="calibri"/>
          <w:sz w:val="24"/>
          <w:szCs w:val="24"/>
          <w:b/>
        </w:rPr>
        <w:t xml:space="preserve">Właścicielach i dyrektorach e-commerce,</w:t>
      </w:r>
      <w:r>
        <w:rPr>
          <w:rFonts w:ascii="calibri" w:hAnsi="calibri" w:eastAsia="calibri" w:cs="calibri"/>
          <w:sz w:val="24"/>
          <w:szCs w:val="24"/>
        </w:rPr>
        <w:t xml:space="preserve"> którzy chcą zrozumieć, jak AI i LLM wpływają na widoczność marki w najbliższych latach.</w:t>
      </w:r>
    </w:p>
    <w:p>
      <w:pPr>
        <w:spacing w:before="0" w:after="0"/>
      </w:pPr>
      <w:r>
        <w:rPr>
          <w:rFonts w:ascii="Wingdings" w:hAnsi="Wingdings" w:eastAsia="Wingdings" w:cs="Wingdings"/>
          <w:sz w:val="14"/>
          <w:szCs w:val="14"/>
        </w:rPr>
        <w:t xml:space="preserve">l </w:t>
      </w:r>
      <w:r>
        <w:rPr>
          <w:rFonts w:ascii="calibri" w:hAnsi="calibri" w:eastAsia="calibri" w:cs="calibri"/>
          <w:sz w:val="24"/>
          <w:szCs w:val="24"/>
          <w:b/>
        </w:rPr>
        <w:t xml:space="preserve">Managerach SEO, marketingu i contentu</w:t>
      </w:r>
      <w:r>
        <w:rPr>
          <w:rFonts w:ascii="calibri" w:hAnsi="calibri" w:eastAsia="calibri" w:cs="calibri"/>
          <w:sz w:val="24"/>
          <w:szCs w:val="24"/>
        </w:rPr>
        <w:t xml:space="preserve"> potrzebujących praktycznych wskazówek, jak przygotować treści i dane, by były „czytelne” dla modeli.</w:t>
      </w:r>
    </w:p>
    <w:p>
      <w:pPr>
        <w:spacing w:before="0" w:after="150"/>
      </w:pPr>
      <w:r>
        <w:rPr>
          <w:rFonts w:ascii="Wingdings" w:hAnsi="Wingdings" w:eastAsia="Wingdings" w:cs="Wingdings"/>
          <w:sz w:val="14"/>
          <w:szCs w:val="14"/>
        </w:rPr>
        <w:t xml:space="preserve">l </w:t>
      </w:r>
      <w:r>
        <w:rPr>
          <w:rFonts w:ascii="calibri" w:hAnsi="calibri" w:eastAsia="calibri" w:cs="calibri"/>
          <w:sz w:val="24"/>
          <w:szCs w:val="24"/>
          <w:b/>
        </w:rPr>
        <w:t xml:space="preserve">Specjalistach, analitykach, osobach rozwijających marki </w:t>
      </w:r>
      <w:r>
        <w:rPr>
          <w:rFonts w:ascii="calibri" w:hAnsi="calibri" w:eastAsia="calibri" w:cs="calibri"/>
          <w:sz w:val="24"/>
          <w:szCs w:val="24"/>
        </w:rPr>
        <w:t xml:space="preserve">— tych, którzy chcą projektować przyszłą widoczność, wychodząc poza klasyczne SEO.</w:t>
      </w:r>
    </w:p>
    <w:p/>
    <w:p/>
    <w:p>
      <w:pPr>
        <w:spacing w:before="0" w:after="300"/>
      </w:pPr>
      <w:r>
        <w:rPr>
          <w:rFonts w:ascii="calibri" w:hAnsi="calibri" w:eastAsia="calibri" w:cs="calibri"/>
          <w:sz w:val="24"/>
          <w:szCs w:val="24"/>
          <w:b/>
        </w:rPr>
        <w:t xml:space="preserve">Jak działa kurs?</w:t>
      </w:r>
    </w:p>
    <w:p>
      <w:pPr>
        <w:spacing w:before="200" w:after="0"/>
      </w:pPr>
      <w:r>
        <w:rPr>
          <w:rFonts w:ascii="calibri" w:hAnsi="calibri" w:eastAsia="calibri" w:cs="calibri"/>
          <w:sz w:val="24"/>
          <w:szCs w:val="24"/>
        </w:rPr>
        <w:t xml:space="preserve">1. </w:t>
      </w:r>
      <w:r>
        <w:rPr>
          <w:rFonts w:ascii="calibri" w:hAnsi="calibri" w:eastAsia="calibri" w:cs="calibri"/>
          <w:sz w:val="24"/>
          <w:szCs w:val="24"/>
        </w:rPr>
        <w:t xml:space="preserve">Rejestracja poprzez formularz dostępny na stronie: https://kurs.harbingers.io/llm-2025</w:t>
      </w:r>
    </w:p>
    <w:p>
      <w:pPr>
        <w:spacing w:before="0" w:after="0"/>
      </w:pPr>
      <w:r>
        <w:rPr>
          <w:rFonts w:ascii="calibri" w:hAnsi="calibri" w:eastAsia="calibri" w:cs="calibri"/>
          <w:sz w:val="24"/>
          <w:szCs w:val="24"/>
        </w:rPr>
        <w:t xml:space="preserve">2. </w:t>
      </w:r>
      <w:r>
        <w:rPr>
          <w:rFonts w:ascii="calibri" w:hAnsi="calibri" w:eastAsia="calibri" w:cs="calibri"/>
          <w:sz w:val="24"/>
          <w:szCs w:val="24"/>
        </w:rPr>
        <w:t xml:space="preserve">Uczestnik wybiera branżę i otrzymuje dostęp do materiału wideo w wersji online na 14 dni od premiery kursu.</w:t>
      </w:r>
    </w:p>
    <w:p>
      <w:pPr>
        <w:spacing w:before="0" w:after="0"/>
      </w:pPr>
      <w:r>
        <w:rPr>
          <w:rFonts w:ascii="calibri" w:hAnsi="calibri" w:eastAsia="calibri" w:cs="calibri"/>
          <w:sz w:val="24"/>
          <w:szCs w:val="24"/>
        </w:rPr>
        <w:t xml:space="preserve">3. </w:t>
      </w:r>
      <w:r>
        <w:rPr>
          <w:rFonts w:ascii="calibri" w:hAnsi="calibri" w:eastAsia="calibri" w:cs="calibri"/>
          <w:sz w:val="24"/>
          <w:szCs w:val="24"/>
        </w:rPr>
        <w:t xml:space="preserve">Po tym okresie – sesja live Q&amp;A z ekspertem Harbingers oraz możliwość przystąpienia do testu online; ukończenie kursu skutkuje zdobyciem certyfikatu.</w:t>
      </w:r>
    </w:p>
    <w:p>
      <w:pPr>
        <w:spacing w:before="0" w:after="0"/>
      </w:pPr>
      <w:r>
        <w:rPr>
          <w:rFonts w:ascii="calibri" w:hAnsi="calibri" w:eastAsia="calibri" w:cs="calibri"/>
          <w:sz w:val="24"/>
          <w:szCs w:val="24"/>
        </w:rPr>
        <w:t xml:space="preserve">4. </w:t>
      </w:r>
      <w:r>
        <w:rPr>
          <w:rFonts w:ascii="calibri" w:hAnsi="calibri" w:eastAsia="calibri" w:cs="calibri"/>
          <w:sz w:val="24"/>
          <w:szCs w:val="24"/>
        </w:rPr>
        <w:t xml:space="preserve">Dodatkowo, uczestnicy mają szansę na konsultację oraz wyselekcjonowanie przez prowadzących najciekawszych projektów do wsparcia strategii widoczności LLM.</w:t>
      </w:r>
    </w:p>
    <w:p/>
    <w:p>
      <w:pPr>
        <w:spacing w:before="0" w:after="300"/>
      </w:pPr>
      <w:r>
        <w:rPr>
          <w:rFonts w:ascii="calibri" w:hAnsi="calibri" w:eastAsia="calibri" w:cs="calibri"/>
          <w:sz w:val="24"/>
          <w:szCs w:val="24"/>
        </w:rPr>
        <w:t xml:space="preserve">Kurs prowadzi Piotr Michalak — Head of SEO &amp; GA w Harbingers. </w:t>
      </w:r>
    </w:p>
    <w:p/>
    <w:p>
      <w:r>
        <w:rPr>
          <w:rFonts w:ascii="calibri" w:hAnsi="calibri" w:eastAsia="calibri" w:cs="calibri"/>
          <w:sz w:val="24"/>
          <w:szCs w:val="24"/>
          <w:b/>
        </w:rPr>
        <w:t xml:space="preserve">Szczegóły i rejestracja:</w:t>
      </w:r>
      <w:r>
        <w:rPr>
          <w:rFonts w:ascii="calibri" w:hAnsi="calibri" w:eastAsia="calibri" w:cs="calibri"/>
          <w:sz w:val="24"/>
          <w:szCs w:val="24"/>
        </w:rPr>
        <w:t xml:space="preserve"> https://kurs.harbingers.io/llm-2025</w:t>
      </w:r>
    </w:p>
    <w:p/>
    <w:p/>
    <w:p>
      <w:pPr>
        <w:spacing w:before="0" w:after="300"/>
      </w:pPr>
    </w:p>
    <w:p/>
    <w:p/>
    <w:p/>
    <w:sectPr>
      <w:pgSz w:orient="portrait" w:w="11870" w:h="16787"/>
      <w:pgMar w:top="650" w:right="650" w:bottom="850" w:left="650" w:header="720" w:footer="720" w:gutter="0"/>
      <w:cols w:num="1"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zoom w:percent="100"/>
  <w:defaultTabStop w:val="708"/>
  <w:hyphenationZone w:val="425"/>
  <w:characterSpacingControl w:val="doNotCompress"/>
  <w:themeFontLang w:val="en-U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2026-08-23T10:24:43+02:00</dcterms:created>
  <dcterms:modified xsi:type="dcterms:W3CDTF">2026-08-23T10:24:43+02:00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