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45% budżetów na influencerów jest marnowana – nowe dane alarmują!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Influencer marketing rośnie w siłę, ale nowe dane wskazują na poważny problem. Według najnowszego raportu CreativeX aż 45% budżetów na promowane treści twórców w ekosystemie Meta jest nieskuteczne. Eksperci ostrzegają, marki ślepo wierzą w „autentyczność”, zapominając o fundamentach skutecznej reklamy.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2024 roku globalne wydatki na influencer marketing przekroczyły 24 miliardy dolarów. To historyczny rekord i jednocześnie, jak pokazuje najnowsza analiza CreativeX, ogromne pole strat. Raport oparty na 1,6 miliona reklam i 2 miliardach dolarów wydatków ujawnia, że niemal połowa środków przeznaczonych na współpracę z twórcami nie przynosi oczekiwanych rezultatów.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Rynek influencerów przypomina dziś gorączkę złota. Każdy chce zdążyć przed końcem fali. Ale kiedy spojrzymy na dane, widzimy, że emocje często wygrywają z rozsądkiem</w:t>
      </w:r>
      <w:r>
        <w:rPr>
          <w:rFonts w:ascii="calibri" w:hAnsi="calibri" w:eastAsia="calibri" w:cs="calibri"/>
          <w:sz w:val="28"/>
          <w:szCs w:val="28"/>
          <w:b/>
        </w:rPr>
        <w:t xml:space="preserve">. </w:t>
      </w:r>
      <w:r>
        <w:rPr>
          <w:rFonts w:ascii="calibri" w:hAnsi="calibri" w:eastAsia="calibri" w:cs="calibri"/>
          <w:sz w:val="28"/>
          <w:szCs w:val="28"/>
          <w:b/>
          <w:i/>
          <w:iCs/>
        </w:rPr>
        <w:t xml:space="preserve">Raport CreativeX jest jak kubeł zimnej wody. Pokazuje, że autentyczność to za mało. Jeśli marki nie nauczą się łączyć jej z zasadami efektywnej komunikacji, będą po prostu przepalać budżety </w:t>
      </w:r>
      <w:r>
        <w:rPr>
          <w:rFonts w:ascii="calibri" w:hAnsi="calibri" w:eastAsia="calibri" w:cs="calibri"/>
          <w:sz w:val="28"/>
          <w:szCs w:val="28"/>
          <w:b/>
        </w:rPr>
        <w:t xml:space="preserve">– </w:t>
      </w:r>
      <w:r>
        <w:rPr>
          <w:rFonts w:ascii="calibri" w:hAnsi="calibri" w:eastAsia="calibri" w:cs="calibri"/>
          <w:sz w:val="28"/>
          <w:szCs w:val="28"/>
          <w:b/>
        </w:rPr>
        <w:t xml:space="preserve">komentuje Borys Marushchak, Performance Marketing Manager wi Harbingers.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CreativeX zidentyfikował 3 główne przyczyny marnotrawstwa w kampaniach z influencerami: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Brak marki na początku wideo – tylko 51% reklam pokazuje markę w ciągu pierwszych 3 sekund, choć to kluczowy moment, zanim użytkownik przewinie dalej.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Ignorowanie bezpiecznych stref ekranów – jedynie 3% reklam twórców jest dostosowanych do interfejsów platform takich jak Instagram czy TikTok.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Nieoptymalna długość materiałów wideo – mniej niż połowa twórców stosuje się do rekomendacji długości treści.</w:t>
      </w:r>
    </w:p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Zastosowanie tych trzech zasad może zwiększyć wskaźnik ukończenia oglądania reklam nawet o 20% i obniżyć koszty kampanii.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Raport zwraca też uwagę na pozytywy. Influencerzy mają naturalne wyczucie formatu i potrafią humanizować treści, co zwiększa oglądalność o 38% oraz używać dźwięku narracyjnie, co podnosi wskaźnik obejrzenia całego wideo o 26%.</w:t>
      </w:r>
    </w:p>
    <w:p/>
    <w:p/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Źródło raportu: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> Are Creators Really Effective? — CreativeX 2024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arn.creativex.com/are-creators-really-effect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2026-08-03T13:42:02+02:00</dcterms:created>
  <dcterms:modified xsi:type="dcterms:W3CDTF">2026-08-03T13:42:02+02:00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