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Harbingers wspiera międzynarodowy rozwój kampanii reklamowych Smart Line Furniture 24 oraz NadaUp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digital marketingowa Harbingers od maja współpracuje z SLF24 - Smart Line Furniture 24, polskim producentem mebli tapicerowanych, rozwijającym sprzedaż online w Europie oraz NadaUp, projektem wellbeingowym skoncentrowanym na regeneracji, jakości snu oraz codziennym komforcie organizmu.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odpowiada za prowadzenie kampanii reklamowych na rynkach międzynarodowych. Celem działań jest wsparcie dalszego skalowania sprzedaży, zwiększanie efektywności kampanii oraz wzmacnianie obecności marki poza Polską. SLF24 to producent mebli tapicerowanych, w którego ofercie znajdują się m.in. sofy, narożniki, fotele, łóżka, krzesła, pufy i meble ogrodowe. Marka łączy polskie zaplecze produkcyjne z modelem sprzedaży online, obsługując klientów indywidualnych oraz segment B2B. Jak podaje firma, jej sklepy internetowe działają w 7 krajach Europy, a w ciągu 10 lat SLF24 dostarczyło produkty do 200 tys. klientów. Marka NadaUp wykorzystuje technologię Mammoth Medical Grade™, opartą na badaniach dotyczących redukcji nacisku, termoregulacji oraz poprawy komfortu regeneracji.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Współpraca z Harbingers rozpoczęła się w maju 2026 roku. Zakres działań obejmuje prowadzenie kampanii reklamowych wspierających sprzedaż SLF24 i NadaUp na rynkach międzynarodowych. Projekt koncentruje się na rozwoju działań paid, lepszym wykorzystaniu potencjału kampanii oraz budowaniu skutecznego modelu pozyskiwania klientów poza rynkiem polskim.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SLF24 oraz rozwiajana przez nich nowa marka NadaUp to firma z mocnym zapleczem operacyjnym i doświadczeniem w sprzedaży online, dlatego w tym projekcie skupiamy się na tym, jak wykorzystać kampanie reklamowe do dalszego rozwoju na rynkach zagranicznych. Nie chodzi wyłącznie o zwiększanie zasięgu, ale o budowanie działań, które wspierają sprzedaż w konkretnych krajach, uwzględniają specyfikę kategorii home &amp; living i pomagają skalować biznes poza Polską</w:t>
      </w:r>
      <w:r>
        <w:rPr>
          <w:rFonts w:ascii="calibri" w:hAnsi="calibri" w:eastAsia="calibri" w:cs="calibri"/>
          <w:sz w:val="24"/>
          <w:szCs w:val="24"/>
        </w:rPr>
        <w:t xml:space="preserve"> — </w:t>
      </w:r>
      <w:r>
        <w:rPr>
          <w:rFonts w:ascii="calibri" w:hAnsi="calibri" w:eastAsia="calibri" w:cs="calibri"/>
          <w:sz w:val="24"/>
          <w:szCs w:val="24"/>
          <w:b/>
        </w:rPr>
        <w:t xml:space="preserve">mówi Dawid Małkowski, Business Growth Expert w Harbingers.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SLF24 i NadaUp rozwija sprzedaż zarówno w Polsce, jak i na rynkach zagranicznych. Jako producent chcemy docierać do klientów, którzy szukają jakości, wygody i rozwiązań dopasowanych do swoich wnętrz. Coraz mocniej rozwijamy również obszar związany z wellbeingiem, regeneracją oraz wpływem komfortu na codzienne funkcjonowanie organizmu. Widzimy rosnącą świadomość klientów w zakresie jakości snu, ergonomii i regeneracji, dlatego marka NadaUp staje się ważnym elementem naszego rozwoju międzynarodowego</w:t>
      </w:r>
      <w:r>
        <w:rPr>
          <w:rFonts w:ascii="calibri" w:hAnsi="calibri" w:eastAsia="calibri" w:cs="calibri"/>
          <w:sz w:val="24"/>
          <w:szCs w:val="24"/>
        </w:rPr>
        <w:t xml:space="preserve"> — </w:t>
      </w:r>
      <w:r>
        <w:rPr>
          <w:rFonts w:ascii="calibri" w:hAnsi="calibri" w:eastAsia="calibri" w:cs="calibri"/>
          <w:sz w:val="24"/>
          <w:szCs w:val="24"/>
          <w:b/>
        </w:rPr>
        <w:t xml:space="preserve">mówi Marek Tybura, CEO w SLF24.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Działania realizowane przez Harbingers mają wspierać SLF24 i NadaUp w docieraniu do klientów zainteresowanych wyposażeniem wnętrz, komfortem codziennego użytkowania oraz funkcjonalnymi rozwiązaniami do domu. Kategoria mebli online wymaga od kampanii reklamowych połączenia inspiracyjnego charakteru komunikacji z precyzyjnym prowadzeniem użytkownika do zakupu. Dlatego ważnym elementem współpracy jest testowanie, optymalizacja i rozwijanie kampanii w sposób dopasowany do różnych etapów decyzji zakupowej.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2026-09-12T10:13:21+02:00</dcterms:created>
  <dcterms:modified xsi:type="dcterms:W3CDTF">2026-09-12T10:13:21+02:00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