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Jak budować wizerunek i maksymalizować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17 grudnia 2024 roku o godzinie 10.00 odbędzie się bezpłatny webinar organizowany przez Harbingers poświęcony nowoczesnym strategiom sprzedaży, podczas którego poruszone będą zagadnienia związane ze skutecznym generowaniem leadów i zwiększaniem sprzedaży dzięki metodom Brandformance oraz Profit on Ad Spend (POAS), jak również wykorzystywaniem platformy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właścicieli firm B2B, B2C i e-commerce, specjalistów Brand i Performance oraz menedżerów i liderów,</w:t>
      </w:r>
      <w:r>
        <w:rPr>
          <w:rFonts w:ascii="calibri" w:hAnsi="calibri" w:eastAsia="calibri" w:cs="calibri"/>
          <w:sz w:val="24"/>
          <w:szCs w:val="24"/>
        </w:rPr>
        <w:t xml:space="preserve"> którzy pragną poszerzyć swoją wiedzę na temat efektywnego łączenia działań brandingowych z kampaniami sprzedażowymi.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Harbingers i Saly</w:t>
      </w:r>
      <w:r>
        <w:rPr>
          <w:rFonts w:ascii="calibri" w:hAnsi="calibri" w:eastAsia="calibri" w:cs="calibri"/>
          <w:sz w:val="24"/>
          <w:szCs w:val="24"/>
        </w:rPr>
        <w:t xml:space="preserve"> zaprezentują, jak dzięki odpowiedniej analizie danych i narzędziom można budować rozpoznawalność marki i jednocześnie zwiększać zwrot z inwestycji w reklamę.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wydarzenia omówione zostaną kluczowe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stosować model </w:t>
      </w:r>
      <w:r>
        <w:rPr>
          <w:rFonts w:ascii="calibri" w:hAnsi="calibri" w:eastAsia="calibri" w:cs="calibri"/>
          <w:sz w:val="24"/>
          <w:szCs w:val="24"/>
          <w:b/>
        </w:rPr>
        <w:t xml:space="preserve">POAS</w:t>
      </w:r>
      <w:r>
        <w:rPr>
          <w:rFonts w:ascii="calibri" w:hAnsi="calibri" w:eastAsia="calibri" w:cs="calibri"/>
          <w:sz w:val="24"/>
          <w:szCs w:val="24"/>
        </w:rPr>
        <w:t xml:space="preserve">, by maksymalizować zyski z kampanii reklamowych,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z sukcesem łączyć </w:t>
      </w:r>
      <w:r>
        <w:rPr>
          <w:rFonts w:ascii="calibri" w:hAnsi="calibri" w:eastAsia="calibri" w:cs="calibri"/>
          <w:sz w:val="24"/>
          <w:szCs w:val="24"/>
          <w:b/>
        </w:rPr>
        <w:t xml:space="preserve">branding i performance</w:t>
      </w:r>
      <w:r>
        <w:rPr>
          <w:rFonts w:ascii="calibri" w:hAnsi="calibri" w:eastAsia="calibri" w:cs="calibri"/>
          <w:sz w:val="24"/>
          <w:szCs w:val="24"/>
        </w:rPr>
        <w:t xml:space="preserve"> w działaniach marketingowych,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zakupowa B2B </w:t>
      </w:r>
      <w:r>
        <w:rPr>
          <w:rFonts w:ascii="calibri" w:hAnsi="calibri" w:eastAsia="calibri" w:cs="calibri"/>
          <w:sz w:val="24"/>
          <w:szCs w:val="24"/>
        </w:rPr>
        <w:t xml:space="preserve">buduje pozytywne doświadczenia z marką, jednocześnie generując większą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także, jak wdrożyć działania optymalizujące kampanie reklamowe oraz jakie kroki podjąć, by w pełni wykorzystać potencjał danych w procesach marketingowych. Podczas webinaru zostaną przedstawione praktyczne wskazówki oraz inspiracje, które uczestnicy będą mogli wykorzystać w swoich biznesach.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Zarejestruj się już dziś: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https://webinarsem.harbingers.io/poas-brandformance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poas-brand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2026-01-19T21:40:39+01:00</dcterms:created>
  <dcterms:modified xsi:type="dcterms:W3CDTF">2026-01-19T21:40:39+01:00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