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Największy raport o SEO i Content Marketingu w polskim e-commerce właśnie ujrzał światło dzienne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150 stron danych, analiz i komentarzy. 1000 sklepów e-commerce, 200 decydentów, 13 ekspertów Harbingers i dziesiątki partnerów branżowych.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8.05.2025 oficjalnie swoją premierę ma raport E-commerce 2025: Prognozy przychodów z SEO i Content Marketingu w dobie AI — największe opracowanie o roli treści i widoczności w rozwoju sklepów internetowych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maja odbyła się jego prapremiera podczas śniadania prasowo-biznesowego w Muzeum Polskiej Wódki w Warszawie, z udziałem dziennikarzy, przedstawicieli topowych marek oraz ekspertów branży.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8 maja raport w pełnej wersji trafia do szerszej publiczności i jest dostępny online: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https://raport.harbingers.io/ecommerce-cm-seo-25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pierwsze tak szeroko zakrojone badanie, które łączy dane z narzędzi Ahrefs, Similarweb, Senuto i autorskich analiz Harbingers z jakościowym badaniem CATI przeprowadzonym przez Openfield wśród ponad 200 decydentów polskiego e-commerce.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Raport analizuje nie tylko aktualny stan rynku, ale też odpowiada na pytanie: </w:t>
      </w:r>
      <w:r>
        <w:rPr>
          <w:rFonts w:ascii="calibri" w:hAnsi="calibri" w:eastAsia="calibri" w:cs="calibri"/>
          <w:sz w:val="24"/>
          <w:szCs w:val="24"/>
          <w:b/>
        </w:rPr>
        <w:t xml:space="preserve">kto będzie rósł w 2025 roku, a kto może stracić pozycję w wynikach wyszukiwania?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kluczowych wniosków: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44,56%</w:t>
      </w:r>
      <w:r>
        <w:rPr>
          <w:rFonts w:ascii="calibri" w:hAnsi="calibri" w:eastAsia="calibri" w:cs="calibri"/>
          <w:sz w:val="24"/>
          <w:szCs w:val="24"/>
        </w:rPr>
        <w:t xml:space="preserve"> całkowitego ruchu pochodzi z kanału organicznego – najwięcej spośród wszystkich źródeł.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Niespełna </w:t>
      </w:r>
      <w:r>
        <w:rPr>
          <w:rFonts w:ascii="calibri" w:hAnsi="calibri" w:eastAsia="calibri" w:cs="calibri"/>
          <w:sz w:val="24"/>
          <w:szCs w:val="24"/>
          <w:b/>
        </w:rPr>
        <w:t xml:space="preserve">30%</w:t>
      </w:r>
      <w:r>
        <w:rPr>
          <w:rFonts w:ascii="calibri" w:hAnsi="calibri" w:eastAsia="calibri" w:cs="calibri"/>
          <w:sz w:val="24"/>
          <w:szCs w:val="24"/>
        </w:rPr>
        <w:t xml:space="preserve"> (295 sklepów) - tylko tyle odnotowało wzrost udziału wizyt z kanału Organic rok do roku.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Polskie sklepy</w:t>
      </w:r>
      <w:r>
        <w:rPr>
          <w:rFonts w:ascii="calibri" w:hAnsi="calibri" w:eastAsia="calibri" w:cs="calibri"/>
          <w:sz w:val="24"/>
          <w:szCs w:val="24"/>
          <w:b/>
        </w:rPr>
        <w:t xml:space="preserve"> tracą miesięcznie aż 9,5 mln wizyt </w:t>
      </w:r>
      <w:r>
        <w:rPr>
          <w:rFonts w:ascii="calibri" w:hAnsi="calibri" w:eastAsia="calibri" w:cs="calibri"/>
          <w:sz w:val="24"/>
          <w:szCs w:val="24"/>
        </w:rPr>
        <w:t xml:space="preserve">przez nieefektywny, niedostosowany do potrzeb odbiorców content. Oznacza to ogromny, niewykorzystany potencjał przychodowy! W rzeczywistości </w:t>
      </w:r>
      <w:r>
        <w:rPr>
          <w:rFonts w:ascii="calibri" w:hAnsi="calibri" w:eastAsia="calibri" w:cs="calibri"/>
          <w:sz w:val="24"/>
          <w:szCs w:val="24"/>
          <w:b/>
        </w:rPr>
        <w:t xml:space="preserve">ponad 100 tysięcy stron contentowych w analizowanych sklepach nie generuje żadnego ruchu.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Głównym wyzwaniem dla e-commerce jest</w:t>
      </w:r>
      <w:r>
        <w:rPr>
          <w:rFonts w:ascii="calibri" w:hAnsi="calibri" w:eastAsia="calibri" w:cs="calibri"/>
          <w:sz w:val="24"/>
          <w:szCs w:val="24"/>
          <w:b/>
        </w:rPr>
        <w:t xml:space="preserve"> utrzymanie wysokiej jakości treści</w:t>
      </w:r>
      <w:r>
        <w:rPr>
          <w:rFonts w:ascii="calibri" w:hAnsi="calibri" w:eastAsia="calibri" w:cs="calibri"/>
          <w:sz w:val="24"/>
          <w:szCs w:val="24"/>
        </w:rPr>
        <w:t xml:space="preserve">, na co </w:t>
      </w:r>
      <w:r>
        <w:rPr>
          <w:rFonts w:ascii="calibri" w:hAnsi="calibri" w:eastAsia="calibri" w:cs="calibri"/>
          <w:sz w:val="24"/>
          <w:szCs w:val="24"/>
          <w:b/>
        </w:rPr>
        <w:t xml:space="preserve">wskazuje na to 38% firm</w:t>
      </w:r>
      <w:r>
        <w:rPr>
          <w:rFonts w:ascii="calibri" w:hAnsi="calibri" w:eastAsia="calibri" w:cs="calibri"/>
          <w:sz w:val="24"/>
          <w:szCs w:val="24"/>
        </w:rPr>
        <w:t xml:space="preserve">, które często publikują zbyt krótkie, powierzchowne lub powielane materiały, nieodpowiadające realnym oczekiwaniom użytkowników.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16,9% firm</w:t>
      </w:r>
      <w:r>
        <w:rPr>
          <w:rFonts w:ascii="calibri" w:hAnsi="calibri" w:eastAsia="calibri" w:cs="calibri"/>
          <w:sz w:val="24"/>
          <w:szCs w:val="24"/>
        </w:rPr>
        <w:t xml:space="preserve"> skutecznie wdraża sztuczną inteligencję w procesach Content Marketingowych, co powoduje, że znaczna większość sklepów pozostaje w tyle za konkurencją.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Blisko </w:t>
      </w:r>
      <w:r>
        <w:rPr>
          <w:rFonts w:ascii="calibri" w:hAnsi="calibri" w:eastAsia="calibri" w:cs="calibri"/>
          <w:sz w:val="24"/>
          <w:szCs w:val="24"/>
          <w:b/>
        </w:rPr>
        <w:t xml:space="preserve">38% e-commerce</w:t>
      </w:r>
      <w:r>
        <w:rPr>
          <w:rFonts w:ascii="calibri" w:hAnsi="calibri" w:eastAsia="calibri" w:cs="calibri"/>
          <w:sz w:val="24"/>
          <w:szCs w:val="24"/>
        </w:rPr>
        <w:t xml:space="preserve"> w Polsce nie pojawia się w rekomendacjach generowanych przez AI, tracąc tym samym nowe, kluczowe źródło ruchu i przewagi konkurencyjnej.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Raport zawiera m.in.:</w:t>
      </w:r>
    </w:p>
    <w:p>
      <w:r>
        <w:rPr>
          <w:rFonts w:ascii="calibri" w:hAnsi="calibri" w:eastAsia="calibri" w:cs="calibri"/>
          <w:sz w:val="24"/>
          <w:szCs w:val="24"/>
        </w:rPr>
        <w:t xml:space="preserve">-benchmarki i rankingi TOP e-commerce,</w:t>
      </w:r>
    </w:p>
    <w:p>
      <w:r>
        <w:rPr>
          <w:rFonts w:ascii="calibri" w:hAnsi="calibri" w:eastAsia="calibri" w:cs="calibri"/>
          <w:sz w:val="24"/>
          <w:szCs w:val="24"/>
        </w:rPr>
        <w:t xml:space="preserve">-dane o widoczności, ruchu i potencjale wzrostu przychodów,</w:t>
      </w:r>
    </w:p>
    <w:p>
      <w:r>
        <w:rPr>
          <w:rFonts w:ascii="calibri" w:hAnsi="calibri" w:eastAsia="calibri" w:cs="calibri"/>
          <w:sz w:val="24"/>
          <w:szCs w:val="24"/>
        </w:rPr>
        <w:t xml:space="preserve">-analizy obecności marek w AI Overviews.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Komentarzy eksperckich, udzielili:</w:t>
      </w:r>
    </w:p>
    <w:p>
      <w:r>
        <w:rPr>
          <w:rFonts w:ascii="calibri" w:hAnsi="calibri" w:eastAsia="calibri" w:cs="calibri"/>
          <w:sz w:val="24"/>
          <w:szCs w:val="24"/>
        </w:rPr>
        <w:t xml:space="preserve">Wojciech Juszczak – Baltic Company / Puder i Krem, Paweł Grzebyk – Sensu, Mariusz Serafin – Lancerto / Próchnik 1948, Konrad Moryń – Empik, Maciej Maj – Openfield, Barbara Żywioł – Openfield, Despina Gavoyannis – Ahrefs, Adam Skrzypek – Senuto, Baruch Toledano – Similarweb, Tomasz Kwiatkowski – sklepOpon.com, Stanisław Michalik – Mood Scent Bar, Piotr Markowski – SypialniaPlus, Magdalena Matela – Wialan, Łukasz Brzostek – Techem, Jakub Stępski – KABAK, Borys Skraba – Strix, Urszula Kozłowska – ecol-unicon, Marcin Piwowarczyk – Ergonode, Jacek Krajl – Grupa Neuca, Jolanta Tkaczyk – Akademia Leona Koźmińskiego, Tomasz Maćkowiak – Sportano, Kasia Kozłowska – Packhelp, Mateusz Józefowski – Tpay, Ewa Opach – IAB Polska, Wojciech Popiela – Collegium Da Vinci, Adam Skiba – RYOBI, Paulina Maludy – Olini.pl, Paweł Harasimowicz – BasicLab Dermocosmetics, Anna Staniszewska – Yope, Jakub Gierszyński – Grupa POLMED S.A., Artur Iwański – Philips.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Partnerzy strategiczni:</w:t>
      </w:r>
    </w:p>
    <w:p>
      <w:r>
        <w:rPr>
          <w:rFonts w:ascii="calibri" w:hAnsi="calibri" w:eastAsia="calibri" w:cs="calibri"/>
          <w:sz w:val="24"/>
          <w:szCs w:val="24"/>
        </w:rPr>
        <w:t xml:space="preserve">Ahrefs, Openfield, Senuto, Similarweb.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Partnerzy merytoryczni:</w:t>
      </w:r>
    </w:p>
    <w:p>
      <w:r>
        <w:rPr>
          <w:rFonts w:ascii="calibri" w:hAnsi="calibri" w:eastAsia="calibri" w:cs="calibri"/>
          <w:sz w:val="24"/>
          <w:szCs w:val="24"/>
        </w:rPr>
        <w:t xml:space="preserve">Empik, Tpay, DIMAQ, Baltic Company, Kozminski University, KUŹNIA, Online Marketing Magazyn, Collegium Da Vinci, Strix, Ergonode.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Partnerzy medialni:</w:t>
      </w:r>
      <w:r>
        <w:rPr>
          <w:rFonts w:ascii="calibri" w:hAnsi="calibri" w:eastAsia="calibri" w:cs="calibri"/>
          <w:sz w:val="24"/>
          <w:szCs w:val="24"/>
        </w:rPr>
        <w:t xml:space="preserve"> Rzeczpospolita oraz rp.pl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Zespół Harbingers</w:t>
      </w:r>
      <w:r>
        <w:rPr>
          <w:rFonts w:ascii="calibri" w:hAnsi="calibri" w:eastAsia="calibri" w:cs="calibri"/>
          <w:sz w:val="24"/>
          <w:szCs w:val="24"/>
        </w:rPr>
        <w:t xml:space="preserve"> zaangażował w projekt swoich 13 ekspertów SEO, analityków, strategów i content managerów: Kornel Dulęba, Filip Krasiński, Piotr Michalak, Sandra Kluza, Patrycja Kranc, Martyna Wawrzusiszyn, Joanna Szklarczyk, Piotr Kalsztyn, Wiktoria Pinas, Jakub Siwiec, Albert Hołda, Jakub Kękuś, Marcin Wątroba.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Nad raportem pracowano przez ponad 4 miesiące.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aport.harbingers.io/ecommerce-cm-seo-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2026-09-21T12:11:15+02:00</dcterms:created>
  <dcterms:modified xsi:type="dcterms:W3CDTF">2026-09-21T12:11:15+02:00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