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Największy raport o SEO i Content Marketingu w polskim e-commerce właśnie ujrzał światło dzienne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150 stron danych, analiz i komentarzy. 1000 sklepów e-commerce, 200 decydentów, 13 ekspertów Harbingers i dziesiątki partnerów branżowych.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8.05.2025 oficjalnie swoją premierę ma raport E-commerce 2025: Prognozy przychodów z SEO i Content Marketingu w dobie AI — największe opracowanie o roli treści i widoczności w rozwoju sklepów internetowych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maja odbyła się jego prapremiera podczas śniadania prasowo-biznesowego w Muzeum Polskiej Wódki w Warszawie, z udziałem dziennikarzy, przedstawicieli topowych marek oraz ekspertów branży.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8 maja raport w pełnej wersji trafia do szerszej publiczności i jest dostępny online: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https://raport.harbingers.io/ecommerce-cm-seo-25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tak szeroko zakrojone badanie, które łączy dane z narzędzi Ahrefs, Similarweb, Senuto i autorskich analiz Harbingers z jakościowym badaniem CATI przeprowadzonym przez Openfield wśród ponad 200 decydentów polskiego e-commerce.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Raport analizuje nie tylko aktualny stan rynku, ale też odpowiada na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kto będzie rósł w 2025 roku, a kto może stracić pozycję w wynikach wyszukiwania?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kluczowych wniosków: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44,56%</w:t>
      </w:r>
      <w:r>
        <w:rPr>
          <w:rFonts w:ascii="calibri" w:hAnsi="calibri" w:eastAsia="calibri" w:cs="calibri"/>
          <w:sz w:val="24"/>
          <w:szCs w:val="24"/>
        </w:rPr>
        <w:t xml:space="preserve"> całkowitego ruchu pochodzi z kanału organicznego – najwięcej spośród wszystkich źródeł.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Niespełna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 (295 sklepów) - tylko tyle odnotowało wzrost udziału wizyt z kanału Organic rok do roku.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sklepy</w:t>
      </w:r>
      <w:r>
        <w:rPr>
          <w:rFonts w:ascii="calibri" w:hAnsi="calibri" w:eastAsia="calibri" w:cs="calibri"/>
          <w:sz w:val="24"/>
          <w:szCs w:val="24"/>
          <w:b/>
        </w:rPr>
        <w:t xml:space="preserve"> tracą miesięcznie aż 9,5 mln wizyt </w:t>
      </w:r>
      <w:r>
        <w:rPr>
          <w:rFonts w:ascii="calibri" w:hAnsi="calibri" w:eastAsia="calibri" w:cs="calibri"/>
          <w:sz w:val="24"/>
          <w:szCs w:val="24"/>
        </w:rPr>
        <w:t xml:space="preserve">przez nieefektywny, niedostosowany do potrzeb odbiorców content. Oznacza to ogromny, niewykorzystany potencjał przychodowy! W rzeczywistości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 tysięcy stron contentowych w analizowanych sklepach nie generuje żadnego ruchu.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Głównym wyzwaniem dla e-commerce jest</w:t>
      </w:r>
      <w:r>
        <w:rPr>
          <w:rFonts w:ascii="calibri" w:hAnsi="calibri" w:eastAsia="calibri" w:cs="calibri"/>
          <w:sz w:val="24"/>
          <w:szCs w:val="24"/>
          <w:b/>
        </w:rPr>
        <w:t xml:space="preserve"> utrzymanie wysokiej jakości treści</w:t>
      </w:r>
      <w:r>
        <w:rPr>
          <w:rFonts w:ascii="calibri" w:hAnsi="calibri" w:eastAsia="calibri" w:cs="calibri"/>
          <w:sz w:val="24"/>
          <w:szCs w:val="24"/>
        </w:rPr>
        <w:t xml:space="preserve">, na co </w:t>
      </w:r>
      <w:r>
        <w:rPr>
          <w:rFonts w:ascii="calibri" w:hAnsi="calibri" w:eastAsia="calibri" w:cs="calibri"/>
          <w:sz w:val="24"/>
          <w:szCs w:val="24"/>
          <w:b/>
        </w:rPr>
        <w:t xml:space="preserve">wskazuje na to 38% firm</w:t>
      </w:r>
      <w:r>
        <w:rPr>
          <w:rFonts w:ascii="calibri" w:hAnsi="calibri" w:eastAsia="calibri" w:cs="calibri"/>
          <w:sz w:val="24"/>
          <w:szCs w:val="24"/>
        </w:rPr>
        <w:t xml:space="preserve">, które często publikują zbyt krótkie, powierzchowne lub powielane materiały, nieodpowiadające realnym oczekiwaniom użytkowników.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16,9% firm</w:t>
      </w:r>
      <w:r>
        <w:rPr>
          <w:rFonts w:ascii="calibri" w:hAnsi="calibri" w:eastAsia="calibri" w:cs="calibri"/>
          <w:sz w:val="24"/>
          <w:szCs w:val="24"/>
        </w:rPr>
        <w:t xml:space="preserve"> skutecznie wdraża sztuczną inteligencję w procesach Content Marketingowych, co powoduje, że znaczna większość sklepów pozostaje w tyle za konkurencją.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38% e-commerce</w:t>
      </w:r>
      <w:r>
        <w:rPr>
          <w:rFonts w:ascii="calibri" w:hAnsi="calibri" w:eastAsia="calibri" w:cs="calibri"/>
          <w:sz w:val="24"/>
          <w:szCs w:val="24"/>
        </w:rPr>
        <w:t xml:space="preserve"> w Polsce nie pojawia się w rekomendacjach generowanych przez AI, tracąc tym samym nowe, kluczowe źródło ruchu i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zawiera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-benchmarki i rankingi TOP e-commerce,</w:t>
      </w:r>
    </w:p>
    <w:p>
      <w:r>
        <w:rPr>
          <w:rFonts w:ascii="calibri" w:hAnsi="calibri" w:eastAsia="calibri" w:cs="calibri"/>
          <w:sz w:val="24"/>
          <w:szCs w:val="24"/>
        </w:rPr>
        <w:t xml:space="preserve">-dane o widoczności, ruchu i potencjale wzrostu przychodów,</w:t>
      </w:r>
    </w:p>
    <w:p>
      <w:r>
        <w:rPr>
          <w:rFonts w:ascii="calibri" w:hAnsi="calibri" w:eastAsia="calibri" w:cs="calibri"/>
          <w:sz w:val="24"/>
          <w:szCs w:val="24"/>
        </w:rPr>
        <w:t xml:space="preserve">-analizy obecności marek w AI Overviews.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Komentarzy eksperckich, udzielili: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Juszczak – Baltic Company / Puder i Krem, Paweł Grzebyk – Sensu, Mariusz Serafin – Lancerto / Próchnik 1948, Konrad Moryń – Empik, Maciej Maj – Openfield, Barbara Żywioł – Openfield, Despina Gavoyannis – Ahrefs, Adam Skrzypek – Senuto, Baruch Toledano – Similarweb, Tomasz Kwiatkowski – sklepOpon.com, Stanisław Michalik – Mood Scent Bar, Piotr Markowski – SypialniaPlus, Magdalena Matela – Wialan, Łukasz Brzostek – Techem, Jakub Stępski – KABAK, Borys Skraba – Strix, Urszula Kozłowska – ecol-unicon, Marcin Piwowarczyk – Ergonode, Jacek Krajl – Grupa Neuca, Jolanta Tkaczyk – Akademia Leona Koźmińskiego, Tomasz Maćkowiak – Sportano, Kasia Kozłowska – Packhelp, Mateusz Józefowski – Tpay, Ewa Opach – IAB Polska, Wojciech Popiela – Collegium Da Vinci, Adam Skiba – RYOBI, Paulina Maludy – Olini.pl, Paweł Harasimowicz – BasicLab Dermocosmetics, Anna Staniszewska – Yope, Jakub Gierszyński – Grupa POLMED S.A., Artur Iwański – Philips.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Partnerzy strategiczni:</w:t>
      </w:r>
    </w:p>
    <w:p>
      <w:r>
        <w:rPr>
          <w:rFonts w:ascii="calibri" w:hAnsi="calibri" w:eastAsia="calibri" w:cs="calibri"/>
          <w:sz w:val="24"/>
          <w:szCs w:val="24"/>
        </w:rPr>
        <w:t xml:space="preserve">Ahrefs, Openfield, Senuto, Similarweb.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Partnerzy merytoryczni:</w:t>
      </w:r>
    </w:p>
    <w:p>
      <w:r>
        <w:rPr>
          <w:rFonts w:ascii="calibri" w:hAnsi="calibri" w:eastAsia="calibri" w:cs="calibri"/>
          <w:sz w:val="24"/>
          <w:szCs w:val="24"/>
        </w:rPr>
        <w:t xml:space="preserve">Empik, Tpay, DIMAQ, Baltic Company, Kozminski University, KUŹNIA, Online Marketing Magazyn, Collegium Da Vinci, Strix, Ergonode.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Partnerzy medialni:</w:t>
      </w:r>
      <w:r>
        <w:rPr>
          <w:rFonts w:ascii="calibri" w:hAnsi="calibri" w:eastAsia="calibri" w:cs="calibri"/>
          <w:sz w:val="24"/>
          <w:szCs w:val="24"/>
        </w:rPr>
        <w:t xml:space="preserve"> Rzeczpospolita oraz rp.pl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Harbingers</w:t>
      </w:r>
      <w:r>
        <w:rPr>
          <w:rFonts w:ascii="calibri" w:hAnsi="calibri" w:eastAsia="calibri" w:cs="calibri"/>
          <w:sz w:val="24"/>
          <w:szCs w:val="24"/>
        </w:rPr>
        <w:t xml:space="preserve"> zaangażował w projekt swoich 13 ekspertów SEO, analityków, strategów i content managerów: Kornel Dulęba, Filip Krasiński, Piotr Michalak, Sandra Kluza, Patrycja Kranc, Martyna Wawrzusiszyn, Joanna Szklarczyk, Piotr Kalsztyn, Wiktoria Pinas, Jakub Siwiec, Albert Hołda, Jakub Kękuś, Marcin Wątroba.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Nad raportem pracowano przez ponad 4 miesiące.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.harbingers.io/ecommerce-cm-seo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2025-10-22T08:41:35+02:00</dcterms:created>
  <dcterms:modified xsi:type="dcterms:W3CDTF">2025-10-22T08:41:35+02:00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