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 z rzadką anomalią rynkową, LinkedIn w pułapce botów – co to znaczy dla polskich marketerów?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 kwartał 2025 roku przyniósł dwa mocne, choć bardzo różne obrazy rynku mediów społecznościowych. Meta notuje historycznie korzystną sytuację dla reklamodawców: jednoczesny wzrost liczby wyświetleń reklam i spadek średniej ceny za kliknięcie. LinkedIn z kolei zmaga się z kryzysem wiarygodności wskaźników zaangażowania, coraz częściej zasilanych przez boty i tzw. „engagement pods”.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Meta, do której należą Facebook, Instagram, WhatsApp i Messenger, może pochwalić się 3,48 mld aktywnych użytkowników dziennie. W Q2 2025 liczba wyświetleń reklam wzrosła globalnie o 11%, a w regionie Azji i Pacyfiku aż o 16%. Jednocześnie średnia cena za reklamę spadła o 9% – zjawisko rzadko spotykane w branży. To oznacza, że firmy mogą docierać do większej liczby odbiorców przy niższych kosztach jednostkowych.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inny problem ma LinkedIn. Choć platforma raportuje rekordowe zaangażowanie i wzrost przychodów o 9%, rośnie liczba głosów ostrzegających przed masowym udziałem botów w interakcjach. Wzrost liczby komentarzy o 30% może w wielu przypadkach oznaczać sztucznie generowane aktywności, które nie przekładają się na realne leady czy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„Meta daje dziś marketerom rzadką szansę – to, co nazywam „oknem zakupowym na impresje”. Jednoczesny spadek cen reklam i wzrost ich zasięgu to idealny moment na intensywne testy i zwiększanie udziału w rynku. LinkedIn natomiast wpada w pułapkę zaangażowania – powierzchowne metryki kuszą, ale realny biznes robi się dziś tylko tam, gdzie liczy się nie ile, lecz kto reaguje na nasze treści”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Borys Marushchak</w:t>
      </w:r>
      <w:r>
        <w:rPr>
          <w:rFonts w:ascii="calibri" w:hAnsi="calibri" w:eastAsia="calibri" w:cs="calibri"/>
          <w:sz w:val="24"/>
          <w:szCs w:val="24"/>
        </w:rPr>
        <w:t xml:space="preserve">, Performance Marketing Manager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podkreślają, że firmy powinny dziś dywersyfikować strategie. Meta jest przewidywalnym i obecnie bardzo opłacalnym narzędziem do skalowania kampanii, podczas gdy na LinkedIn konieczne staje się krytyczne podejście do danych i skupienie na jakości interakcji.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2026-08-24T04:55:51+02:00</dcterms:created>
  <dcterms:modified xsi:type="dcterms:W3CDTF">2026-08-24T04:55:51+02:00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