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udostępnia bezpłatny Masterclass Brandformance. Jak połączyć działania wizerunkowe z performance marketingiem?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Harbingers udostępnia bezpłatny Masterclass „Zwiększ efektywność swoich działań performance poprzez aktywację działań nastawionych na promocję marki”, poświęcony łączeniu działań wizerunkowych z performance marketingiem. Materiał pokazuje, jak działania nastawione na budowanie marki mogą wspierać skuteczność kampanii performance i realizację celów biznesowych.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Masterclass prowadzi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Kobylarz, Head of Strategy &amp; Creative w Harbingers</w:t>
      </w:r>
      <w:r>
        <w:rPr>
          <w:rFonts w:ascii="calibri" w:hAnsi="calibri" w:eastAsia="calibri" w:cs="calibri"/>
          <w:sz w:val="24"/>
          <w:szCs w:val="24"/>
        </w:rPr>
        <w:t xml:space="preserve">, który omawia tematykę działań brandowych i performance, budowania popytu oraz zwiększania efektywności prowadzonych działań marketingowych.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został opracowany z myślą o osobach odpowiadających za budżety marketingowe, kierunek strategiczny oraz wzrost biznesu w e-Commerce i B2B.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kursu jest bezpłatny po rejestracji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https://kurs.harbingers.io/masterclass-brandformance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urs.harbingers.io/masterclass-brandform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2026-10-11T16:24:20+02:00</dcterms:created>
  <dcterms:modified xsi:type="dcterms:W3CDTF">2026-10-11T16:24:20+02:00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