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udostępnia bezpłatny Masterclass Brandformance. Jak połączyć działania wizerunkowe z performance marketingiem?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Harbingers udostępnia bezpłatny Masterclass „Zwiększ efektywność swoich działań performance poprzez aktywację działań nastawionych na promocję marki”, poświęcony łączeniu działań wizerunkowych z performance marketingiem. Materiał pokazuje, jak działania nastawione na budowanie marki mogą wspierać skuteczność kampanii performance i realizację celów biznesowych.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Masterclass prowadzi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Kobylarz, Head of Strategy &amp; Creative w Harbingers</w:t>
      </w:r>
      <w:r>
        <w:rPr>
          <w:rFonts w:ascii="calibri" w:hAnsi="calibri" w:eastAsia="calibri" w:cs="calibri"/>
          <w:sz w:val="24"/>
          <w:szCs w:val="24"/>
        </w:rPr>
        <w:t xml:space="preserve">, który omawia tematykę działań brandowych i performance, budowania popytu oraz zwiększania efektywności prowadzonych działań marketingowych.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został opracowany z myślą o osobach odpowiadających za budżety marketingowe, kierunek strategiczny oraz wzrost biznesu w e-Commerce i B2B.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 do kursu jest bezpłatny po rejestracji na stronie: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https://kurs.harbingers.io/masterclass-brandformance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urs.harbingers.io/masterclass-brandform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2026-08-27T14:08:54+02:00</dcterms:created>
  <dcterms:modified xsi:type="dcterms:W3CDTF">2026-08-27T14:08:54+02:00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